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7"/>
        <w:gridCol w:w="18480"/>
        <w:gridCol w:w="1146"/>
      </w:tblGrid>
      <w:tr>
        <w:trPr>
          <w:trHeight w:val="132"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1146"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tbl>
            <w:tblPr>
              <w:tblCellMar>
                <w:top w:w="0" w:type="dxa"/>
                <w:left w:w="0" w:type="dxa"/>
                <w:bottom w:w="0" w:type="dxa"/>
                <w:right w:w="0" w:type="dxa"/>
              </w:tblCellMar>
            </w:tblPr>
            <w:tblGrid>
              <w:gridCol w:w="18480"/>
            </w:tblGrid>
            <w:tr>
              <w:trPr>
                <w:trHeight w:val="262" w:hRule="atLeast"/>
              </w:trPr>
              <w:tc>
                <w:tcPr>
                  <w:tcW w:w="18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Naziv naručitelja: Sveučilišna knjižnica Rijeka</w:t>
                  </w:r>
                </w:p>
              </w:tc>
            </w:tr>
          </w:tbl>
          <w:p>
            <w:pPr>
              <w:spacing w:after="0" w:line="240" w:lineRule="auto"/>
            </w:pPr>
          </w:p>
        </w:tc>
        <w:tc>
          <w:tcPr>
            <w:tcW w:w="1146"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1146"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tbl>
            <w:tblPr>
              <w:tblCellMar>
                <w:top w:w="0" w:type="dxa"/>
                <w:left w:w="0" w:type="dxa"/>
                <w:bottom w:w="0" w:type="dxa"/>
                <w:right w:w="0" w:type="dxa"/>
              </w:tblCellMar>
            </w:tblPr>
            <w:tblGrid>
              <w:gridCol w:w="18480"/>
            </w:tblGrid>
            <w:tr>
              <w:trPr>
                <w:trHeight w:val="262" w:hRule="atLeast"/>
              </w:trPr>
              <w:tc>
                <w:tcPr>
                  <w:tcW w:w="18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Godina: 2021</w:t>
                  </w:r>
                </w:p>
              </w:tc>
            </w:tr>
          </w:tbl>
          <w:p>
            <w:pPr>
              <w:spacing w:after="0" w:line="240" w:lineRule="auto"/>
            </w:pPr>
          </w:p>
        </w:tc>
        <w:tc>
          <w:tcPr>
            <w:tcW w:w="1146"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1146" w:type="dxa"/>
          </w:tcPr>
          <w:p>
            <w:pPr>
              <w:pStyle w:val="EmptyCellLayoutStyle"/>
              <w:spacing w:after="0" w:line="240" w:lineRule="auto"/>
            </w:pPr>
          </w:p>
        </w:tc>
      </w:tr>
      <w:tr>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8"/>
              <w:gridCol w:w="1417"/>
              <w:gridCol w:w="1417"/>
              <w:gridCol w:w="1417"/>
              <w:gridCol w:w="1417"/>
              <w:gridCol w:w="1822"/>
              <w:gridCol w:w="1417"/>
              <w:gridCol w:w="892"/>
              <w:gridCol w:w="997"/>
              <w:gridCol w:w="967"/>
              <w:gridCol w:w="967"/>
              <w:gridCol w:w="1417"/>
              <w:gridCol w:w="907"/>
              <w:gridCol w:w="937"/>
              <w:gridCol w:w="2251"/>
              <w:gridCol w:w="1012"/>
            </w:tblGrid>
            <w:tr>
              <w:trPr>
                <w:trHeight w:val="1327" w:hRule="atLeast"/>
              </w:trPr>
              <w:tc>
                <w:tcPr>
                  <w:tcW w:w="368"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Rbr</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Brojčana oznaka predmeta nabave iz CPV-a</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Procijenjena vrijednost nabave (u kunama)</w:t>
                  </w:r>
                </w:p>
              </w:tc>
              <w:tc>
                <w:tcPr>
                  <w:tcW w:w="182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(uključujući jednostavne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Posebni režim nabave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podijeljen na grupe</w:t>
                  </w:r>
                </w:p>
              </w:tc>
              <w:tc>
                <w:tcPr>
                  <w:tcW w:w="99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Sklapa se Ugovor/okvirni sporazum</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Ugovor/okvirni sporazum se financira iz fondova EU</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Planirani početak postupka</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Planirano trajanje ugovora ili okvirnog sporazuma</w:t>
                  </w:r>
                </w:p>
              </w:tc>
              <w:tc>
                <w:tcPr>
                  <w:tcW w:w="90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Vrijedi od</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Vrijedi do</w:t>
                  </w:r>
                </w:p>
              </w:tc>
              <w:tc>
                <w:tcPr>
                  <w:tcW w:w="2251"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Status promjene</w:t>
                  </w: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enegrijom</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1.2.2020. do 31.1.2022. na 2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enegrijom</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09310000-5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1.2.2020. do 31.1.2022. na 2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gorivo - lož ulje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18.2.2020. do 17.2.2021. Okvirni sporazum sklopljen na 3 godine, produžava se.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gorivo - lož ulje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09100000-0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18.2.2020. do 17.2.2021. Okvirni sporazum sklopljen na 3 godine, produžava se.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elektroničke komunikacijske usluge u pokretnoj mreži i oprema za korištenje istih</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19.9.2018. na 2 godine. Okvirni sporazum sklopljen 14.6.2018. i traje 2 godine. Ujedno je sklopljen i Dodatak ugovora za produženje usluge i traje do okončanja novog postupka SDUSJN.</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elektroničke komunikacijske usluge u pokretnoj mreži i oprema za korištenje istih</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64200000-8</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19.9.2018. na 2 godine. Okvirni sporazum sklopljen 14.6.2018. i traje 2 godine. Ujedno je sklopljen i Dodatak ugovora za produženje usluge i traje do okončanja novog postupka SDUSJN.</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elektroničke komunikacijske usluge u nepokretnoj mreži i oprema za korištenje istih</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proveo Središnji državni ured za središnju javnu nabavu. Ugovor sklopljen s Optima Telekomom d.d. 16.4.2019. Okvirni sporazum sklopljen 1.2.2018. na razdoblje od 3 godine.</w:t>
                  </w:r>
                  <w:r>
                    <w:rPr>
                      <w:rFonts w:ascii="Arial" w:hAnsi="Arial" w:eastAsia="Arial"/>
                      <w:color w:val="000000"/>
                      <w:sz w:val="14"/>
                    </w:rPr>
                    <w:br/>
                    <w:t xml:space="preserve">Sklopljen Aneks 2 Ugovoru s Optimom Telekom kojim se mijenja postojeći Prilog I Ugovora - Troškovnik postojećih usluga. Osnovni ugovor s Optimom Telekom traje do 16.4.2022.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elektroničke komunikacijske usluge u nepokretnoj mreži i oprema za korištenje istih</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64200000-8</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19.622,00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proveo Središnji državni ured za središnju javnu nabavu. Ugovor sklopljen s Optima Telekomom d.d. 16.4.2019. Okvirni sporazum sklopljen 1.2.2018. na razdoblje od 3 godine.</w:t>
                  </w:r>
                  <w:r>
                    <w:rPr>
                      <w:rFonts w:ascii="Arial" w:hAnsi="Arial" w:eastAsia="Arial"/>
                      <w:color w:val="000000"/>
                      <w:sz w:val="14"/>
                    </w:rPr>
                    <w:br/>
                    <w:t xml:space="preserve">Sklopljen Aneks 2 Ugovoru s Optimom Telekom kojim se mijenja postojeći Prilog I Ugovora - Troškovnik postojećih usluga. Osnovni ugovor s Optimom Telekom traje do 16.4.2022.</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422220</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elektroničke komunikacijske usluge u nepokretnoj mreži i oprema za korištenje istih</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64200000-8</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proveo Središnji državni ured za središnju javnu nabavu. Ugovor sklopljen s Optima Telekomom d.d. 16.4.2019. Okvirni sporazum sklopljen 1.2.2018. na razdoblje od 3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 u unutarnjem i međunarodnom prometu</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Društvene i posebne usluge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1.3.2020. do 28.2.2022. na 2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 u unutarnjem i međunarodnom prometu</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64110000-0</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Društvene i posebne usluge</w:t>
                  </w: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SDUSJN</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OS</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nabave provodi Središnji državni ured za središnju javnu nabavu. Procijenjena vrijednost je iznos koji ovaj naručitelj planira na godišnjoj razini za predmetnu nabavnu kategoriju. Ugovor je sklopljen 1.3.2020. do 28.2.2022. na 2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66.666,00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kupnja knjiga od više dobavljača, što tuzemnih što inozemnih, a sve zavisi od potreba tijekom godine, a koje iskažu korisnici knjižnice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22113000-5</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102.858,00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kupnja knjiga od više dobavljača, što tuzemnih što inozemnih, a sve zavisi od potreba tijekom godine, a koje iskažu korisnici knjižnice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21.191,00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30200000-1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71.200,00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323960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čuvanja imovine i osoba - čuvarske usluge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79713000-5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čuvanja imovine i osoba - čuvarske usluge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79713000-5</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čuvanja imovine i osoba - čuvarske usluge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79713000-5</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93.000,00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izuzet od primjene Zakona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grijanje/hlađenje/ventilaciju</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39715200-9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12.041,00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grijanje/hlađenje/ventilaciju</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39715200-9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39130000-2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12.783,00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39130000-2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71.200,00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Student servisa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79600000-0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42.096,00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3237</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Student servisa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79600000-0</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računalni programi</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72212650-0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106.888,00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3238</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računalni programi</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72212650-0</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89.600,00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intelektualne i osobne usluge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79300000-7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31.373,00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3237</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intelektualne i osobne usluge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79300000-7</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66.720,00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3234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komunalne usluge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strike/>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strike/>
                      <w:color w:val="000000"/>
                      <w:sz w:val="14"/>
                    </w:rPr>
                    <w:t xml:space="preserve">241.000,00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strike/>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strike/>
                      <w:color w:val="000000"/>
                      <w:sz w:val="14"/>
                    </w:rPr>
                    <w:t xml:space="preserve">28.12.2020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strike/>
                      <w:color w:val="000000"/>
                      <w:sz w:val="14"/>
                    </w:rPr>
                    <w:t xml:space="preserve">16.12.2021</w:t>
                  </w: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strike/>
                      <w:color w:val="000000"/>
                      <w:sz w:val="14"/>
                    </w:rPr>
                    <w:t xml:space="preserve">Obrisana</w:t>
                  </w: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službena putovanja i usavršavanje djelatnika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80522000-9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25.862,00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službena putovanja i usavršavanje djelatnika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80522000-9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premije osiguranja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19.715,00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3292</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premije osiguranja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66510000-8</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90.725,00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50000000-5</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28.12.2020</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42273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održavanje i zaštitu - vatrodojava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31625200-5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39.548,00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svibanj 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održavanje i zaštitu - vatrodojava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31625200-5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39.548,00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svibanj 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continue"/>
                  <w:tcBorders>
                    <w:top w:val="nil"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održavanje i zaštitu - vatrodojava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31625200-5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svibanj 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održavanje i zaštitu - vatrodojava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35121700-5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svibanj 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prostora</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45432110-8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31.360,00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prostora</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45432110-8</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Uređaji, strojevi i oprema za ostale namjene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38520000-6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73.676,65</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4227</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Uređaji, strojevi i oprema za ostale namjene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38520000-6</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2021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13.08.2021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4227</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Uređaji, strojevi i oprema za ostale namjene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38520000-6</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13.08.2021</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13.08.2021</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bl>
          <w:p>
            <w:pPr>
              <w:spacing w:after="0" w:line="240" w:lineRule="auto"/>
            </w:pPr>
          </w:p>
        </w:tc>
        <w:tc>
          <w:tcPr>
            <w:tcW w:w="1146" w:type="dxa"/>
            <w:hMerge w:val="continue"/>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1146" w:type="dxa"/>
          </w:tcPr>
          <w:p>
            <w:pPr>
              <w:pStyle w:val="EmptyCellLayoutStyle"/>
              <w:spacing w:after="0" w:line="240" w:lineRule="auto"/>
            </w:pPr>
          </w:p>
        </w:tc>
      </w:tr>
      <w:tr>
        <w:trPr>
          <w:trHeight w:val="360" w:hRule="atLeast"/>
        </w:trPr>
        <w:tc>
          <w:tcPr>
            <w:tcW w:w="35"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18488"/>
            </w:tblGrid>
            <w:tr>
              <w:trPr>
                <w:trHeight w:val="282" w:hRule="atLeast"/>
              </w:trPr>
              <w:tc>
                <w:tcPr>
                  <w:tcW w:w="184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zadnje izmjene plana: 16.12.2021 13:17</w:t>
                  </w:r>
                </w:p>
              </w:tc>
            </w:tr>
          </w:tbl>
          <w:p>
            <w:pPr>
              <w:spacing w:after="0" w:line="240" w:lineRule="auto"/>
            </w:pPr>
          </w:p>
        </w:tc>
        <w:tc>
          <w:tcPr>
            <w:tcW w:w="18480" w:type="dxa"/>
            <w:hMerge w:val="continue"/>
          </w:tcPr>
          <w:p>
            <w:pPr>
              <w:pStyle w:val="EmptyCellLayoutStyle"/>
              <w:spacing w:after="0" w:line="240" w:lineRule="auto"/>
            </w:pPr>
          </w:p>
        </w:tc>
        <w:tc>
          <w:tcPr>
            <w:tcW w:w="1146" w:type="dxa"/>
          </w:tcPr>
          <w:p>
            <w:pPr>
              <w:pStyle w:val="EmptyCellLayoutStyle"/>
              <w:spacing w:after="0" w:line="240" w:lineRule="auto"/>
            </w:pPr>
          </w:p>
        </w:tc>
      </w:tr>
      <w:tr>
        <w:trPr>
          <w:trHeight w:val="6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1146" w:type="dxa"/>
          </w:tcPr>
          <w:p>
            <w:pPr>
              <w:pStyle w:val="EmptyCellLayoutStyle"/>
              <w:spacing w:after="0" w:line="240" w:lineRule="auto"/>
            </w:pPr>
          </w:p>
        </w:tc>
      </w:tr>
      <w:tr>
        <w:trPr>
          <w:trHeight w:val="360" w:hRule="atLeast"/>
        </w:trPr>
        <w:tc>
          <w:tcPr>
            <w:tcW w:w="35"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18488"/>
            </w:tblGrid>
            <w:tr>
              <w:trPr>
                <w:trHeight w:val="282" w:hRule="atLeast"/>
              </w:trPr>
              <w:tc>
                <w:tcPr>
                  <w:tcW w:w="184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objave plana nabave: 28.12.2020 11:00</w:t>
                  </w:r>
                </w:p>
              </w:tc>
            </w:tr>
          </w:tbl>
          <w:p>
            <w:pPr>
              <w:spacing w:after="0" w:line="240" w:lineRule="auto"/>
            </w:pPr>
          </w:p>
        </w:tc>
        <w:tc>
          <w:tcPr>
            <w:tcW w:w="18480" w:type="dxa"/>
            <w:hMerge w:val="continue"/>
          </w:tcPr>
          <w:p>
            <w:pPr>
              <w:pStyle w:val="EmptyCellLayoutStyle"/>
              <w:spacing w:after="0" w:line="240" w:lineRule="auto"/>
            </w:pPr>
          </w:p>
        </w:tc>
        <w:tc>
          <w:tcPr>
            <w:tcW w:w="1146"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0803" w:h="11908"/>
      <w:pgMar w:top="566" w:right="566" w:bottom="566" w:left="566"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8556"/>
      <w:gridCol w:w="1113"/>
    </w:tblGrid>
    <w:tr>
      <w:trPr/>
      <w:tc>
        <w:tcPr>
          <w:tcW w:w="18556" w:type="dxa"/>
        </w:tcPr>
        <w:p>
          <w:pPr>
            <w:pStyle w:val="EmptyCellLayoutStyle"/>
            <w:spacing w:after="0" w:line="240" w:lineRule="auto"/>
          </w:pPr>
        </w:p>
      </w:tc>
      <w:tc>
        <w:tcPr>
          <w:tcW w:w="1113" w:type="dxa"/>
        </w:tcPr>
        <w:p>
          <w:pPr>
            <w:pStyle w:val="EmptyCellLayoutStyle"/>
            <w:spacing w:after="0" w:line="240" w:lineRule="auto"/>
          </w:pPr>
        </w:p>
      </w:tc>
    </w:tr>
    <w:tr>
      <w:trPr/>
      <w:tc>
        <w:tcPr>
          <w:tcW w:w="18556" w:type="dxa"/>
        </w:tcPr>
        <w:tbl>
          <w:tblPr>
            <w:tblCellMar>
              <w:top w:w="0" w:type="dxa"/>
              <w:left w:w="0" w:type="dxa"/>
              <w:bottom w:w="0" w:type="dxa"/>
              <w:right w:w="0" w:type="dxa"/>
            </w:tblCellMar>
          </w:tblPr>
          <w:tblGrid>
            <w:gridCol w:w="18556"/>
          </w:tblGrid>
          <w:tr>
            <w:trPr>
              <w:trHeight w:val="262" w:hRule="atLeast"/>
            </w:trPr>
            <w:tc>
              <w:tcPr>
                <w:tcW w:w="185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1113" w:type="dxa"/>
        </w:tcPr>
        <w:p>
          <w:pPr>
            <w:pStyle w:val="EmptyCellLayoutStyle"/>
            <w:spacing w:after="0" w:line="240" w:lineRule="auto"/>
          </w:pPr>
        </w:p>
      </w:tc>
    </w:tr>
    <w:tr>
      <w:trPr/>
      <w:tc>
        <w:tcPr>
          <w:tcW w:w="18556" w:type="dxa"/>
        </w:tcPr>
        <w:p>
          <w:pPr>
            <w:pStyle w:val="EmptyCellLayoutStyle"/>
            <w:spacing w:after="0" w:line="240" w:lineRule="auto"/>
          </w:pPr>
        </w:p>
      </w:tc>
      <w:tc>
        <w:tcPr>
          <w:tcW w:w="1113"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195"/>
      <w:gridCol w:w="17285"/>
      <w:gridCol w:w="1153"/>
    </w:tblGrid>
    <w:tr>
      <w:trPr/>
      <w:tc>
        <w:tcPr>
          <w:tcW w:w="35" w:type="dxa"/>
        </w:tcPr>
        <w:p>
          <w:pPr>
            <w:pStyle w:val="EmptyCellLayoutStyle"/>
            <w:spacing w:after="0" w:line="240" w:lineRule="auto"/>
          </w:pPr>
        </w:p>
      </w:tc>
      <w:tc>
        <w:tcPr>
          <w:tcW w:w="1195" w:type="dxa"/>
        </w:tcPr>
        <w:p>
          <w:pPr>
            <w:pStyle w:val="EmptyCellLayoutStyle"/>
            <w:spacing w:after="0" w:line="240" w:lineRule="auto"/>
          </w:pPr>
        </w:p>
      </w:tc>
      <w:tc>
        <w:tcPr>
          <w:tcW w:w="17285" w:type="dxa"/>
        </w:tcPr>
        <w:p>
          <w:pPr>
            <w:pStyle w:val="EmptyCellLayoutStyle"/>
            <w:spacing w:after="0" w:line="240" w:lineRule="auto"/>
          </w:pPr>
        </w:p>
      </w:tc>
      <w:tc>
        <w:tcPr>
          <w:tcW w:w="1153"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59074" cy="253024"/>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59074" cy="253024"/>
                        </a:xfrm>
                        <a:prstGeom prst="rect">
                          <a:avLst/>
                        </a:prstGeom>
                      </pic:spPr>
                    </pic:pic>
                  </a:graphicData>
                </a:graphic>
              </wp:inline>
            </w:drawing>
          </w:r>
        </w:p>
      </w:tc>
      <w:tc>
        <w:tcPr>
          <w:tcW w:w="17285" w:type="dxa"/>
        </w:tcPr>
        <w:p>
          <w:pPr>
            <w:pStyle w:val="EmptyCellLayoutStyle"/>
            <w:spacing w:after="0" w:line="240" w:lineRule="auto"/>
          </w:pPr>
        </w:p>
      </w:tc>
      <w:tc>
        <w:tcPr>
          <w:tcW w:w="1153"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vMerge w:val="continue"/>
        </w:tcPr>
        <w:p>
          <w:pPr>
            <w:pStyle w:val="EmptyCellLayoutStyle"/>
            <w:spacing w:after="0" w:line="240" w:lineRule="auto"/>
          </w:pPr>
        </w:p>
      </w:tc>
      <w:tc>
        <w:tcPr>
          <w:tcW w:w="17285" w:type="dxa"/>
        </w:tcPr>
        <w:tbl>
          <w:tblPr>
            <w:tblCellMar>
              <w:top w:w="0" w:type="dxa"/>
              <w:left w:w="0" w:type="dxa"/>
              <w:bottom w:w="0" w:type="dxa"/>
              <w:right w:w="0" w:type="dxa"/>
            </w:tblCellMar>
          </w:tblPr>
          <w:tblGrid>
            <w:gridCol w:w="17285"/>
          </w:tblGrid>
          <w:tr>
            <w:trPr>
              <w:trHeight w:val="262" w:hRule="atLeast"/>
            </w:trPr>
            <w:tc>
              <w:tcPr>
                <w:tcW w:w="1728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PLAN NABAVE</w:t>
                </w:r>
              </w:p>
            </w:tc>
          </w:tr>
        </w:tbl>
        <w:p>
          <w:pPr>
            <w:spacing w:after="0" w:line="240" w:lineRule="auto"/>
          </w:pPr>
        </w:p>
      </w:tc>
      <w:tc>
        <w:tcPr>
          <w:tcW w:w="1153"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tcPr>
        <w:p>
          <w:pPr>
            <w:pStyle w:val="EmptyCellLayoutStyle"/>
            <w:spacing w:after="0" w:line="240" w:lineRule="auto"/>
          </w:pPr>
        </w:p>
      </w:tc>
      <w:tc>
        <w:tcPr>
          <w:tcW w:w="17285" w:type="dxa"/>
        </w:tcPr>
        <w:p>
          <w:pPr>
            <w:pStyle w:val="EmptyCellLayoutStyle"/>
            <w:spacing w:after="0" w:line="240" w:lineRule="auto"/>
          </w:pPr>
        </w:p>
      </w:tc>
      <w:tc>
        <w:tcPr>
          <w:tcW w:w="1153"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num w:numId="1">
    <w:abstractNumId w:val="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Rpt_PlanNabave</dc:title>
</cp:coreProperties>
</file>