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5"/>
        <w:gridCol w:w="7"/>
        <w:gridCol w:w="18480"/>
        <w:gridCol w:w="1146"/>
      </w:tblGrid>
      <w:tr w:rsidR="00420366">
        <w:trPr>
          <w:trHeight w:val="132"/>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p w:rsidR="00420366" w:rsidRDefault="00420366">
            <w:pPr>
              <w:pStyle w:val="EmptyCellLayoutStyle"/>
              <w:spacing w:after="0" w:line="240" w:lineRule="auto"/>
            </w:pPr>
          </w:p>
        </w:tc>
        <w:tc>
          <w:tcPr>
            <w:tcW w:w="1146" w:type="dxa"/>
          </w:tcPr>
          <w:p w:rsidR="00420366" w:rsidRDefault="00420366">
            <w:pPr>
              <w:pStyle w:val="EmptyCellLayoutStyle"/>
              <w:spacing w:after="0" w:line="240" w:lineRule="auto"/>
            </w:pPr>
          </w:p>
        </w:tc>
      </w:tr>
      <w:tr w:rsidR="00420366">
        <w:trPr>
          <w:trHeight w:val="340"/>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tbl>
            <w:tblPr>
              <w:tblW w:w="0" w:type="auto"/>
              <w:tblCellMar>
                <w:left w:w="0" w:type="dxa"/>
                <w:right w:w="0" w:type="dxa"/>
              </w:tblCellMar>
              <w:tblLook w:val="0000" w:firstRow="0" w:lastRow="0" w:firstColumn="0" w:lastColumn="0" w:noHBand="0" w:noVBand="0"/>
            </w:tblPr>
            <w:tblGrid>
              <w:gridCol w:w="18480"/>
            </w:tblGrid>
            <w:tr w:rsidR="00420366">
              <w:trPr>
                <w:trHeight w:val="262"/>
              </w:trPr>
              <w:tc>
                <w:tcPr>
                  <w:tcW w:w="18480" w:type="dxa"/>
                  <w:tcBorders>
                    <w:top w:val="nil"/>
                    <w:left w:val="nil"/>
                    <w:bottom w:val="nil"/>
                    <w:right w:val="nil"/>
                  </w:tcBorders>
                  <w:tcMar>
                    <w:top w:w="39" w:type="dxa"/>
                    <w:left w:w="39" w:type="dxa"/>
                    <w:bottom w:w="39" w:type="dxa"/>
                    <w:right w:w="39" w:type="dxa"/>
                  </w:tcMar>
                </w:tcPr>
                <w:p w:rsidR="00420366" w:rsidRDefault="00AC5BC5">
                  <w:pPr>
                    <w:spacing w:after="0" w:line="240" w:lineRule="auto"/>
                  </w:pPr>
                  <w:r>
                    <w:rPr>
                      <w:rFonts w:ascii="Arial" w:eastAsia="Arial" w:hAnsi="Arial"/>
                      <w:b/>
                      <w:color w:val="000000"/>
                    </w:rPr>
                    <w:t>Naziv naručitelja: Sveučilišna knjižnica Rijeka</w:t>
                  </w:r>
                </w:p>
              </w:tc>
            </w:tr>
          </w:tbl>
          <w:p w:rsidR="00420366" w:rsidRDefault="00420366">
            <w:pPr>
              <w:spacing w:after="0" w:line="240" w:lineRule="auto"/>
            </w:pPr>
          </w:p>
        </w:tc>
        <w:tc>
          <w:tcPr>
            <w:tcW w:w="1146" w:type="dxa"/>
          </w:tcPr>
          <w:p w:rsidR="00420366" w:rsidRDefault="00420366">
            <w:pPr>
              <w:pStyle w:val="EmptyCellLayoutStyle"/>
              <w:spacing w:after="0" w:line="240" w:lineRule="auto"/>
            </w:pPr>
          </w:p>
        </w:tc>
      </w:tr>
      <w:tr w:rsidR="00420366">
        <w:trPr>
          <w:trHeight w:val="79"/>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p w:rsidR="00420366" w:rsidRDefault="00420366">
            <w:pPr>
              <w:pStyle w:val="EmptyCellLayoutStyle"/>
              <w:spacing w:after="0" w:line="240" w:lineRule="auto"/>
            </w:pPr>
          </w:p>
        </w:tc>
        <w:tc>
          <w:tcPr>
            <w:tcW w:w="1146" w:type="dxa"/>
          </w:tcPr>
          <w:p w:rsidR="00420366" w:rsidRDefault="00420366">
            <w:pPr>
              <w:pStyle w:val="EmptyCellLayoutStyle"/>
              <w:spacing w:after="0" w:line="240" w:lineRule="auto"/>
            </w:pPr>
          </w:p>
        </w:tc>
      </w:tr>
      <w:tr w:rsidR="00420366">
        <w:trPr>
          <w:trHeight w:val="340"/>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tbl>
            <w:tblPr>
              <w:tblW w:w="0" w:type="auto"/>
              <w:tblCellMar>
                <w:left w:w="0" w:type="dxa"/>
                <w:right w:w="0" w:type="dxa"/>
              </w:tblCellMar>
              <w:tblLook w:val="0000" w:firstRow="0" w:lastRow="0" w:firstColumn="0" w:lastColumn="0" w:noHBand="0" w:noVBand="0"/>
            </w:tblPr>
            <w:tblGrid>
              <w:gridCol w:w="18480"/>
            </w:tblGrid>
            <w:tr w:rsidR="00420366">
              <w:trPr>
                <w:trHeight w:val="262"/>
              </w:trPr>
              <w:tc>
                <w:tcPr>
                  <w:tcW w:w="18480" w:type="dxa"/>
                  <w:tcBorders>
                    <w:top w:val="nil"/>
                    <w:left w:val="nil"/>
                    <w:bottom w:val="nil"/>
                    <w:right w:val="nil"/>
                  </w:tcBorders>
                  <w:tcMar>
                    <w:top w:w="39" w:type="dxa"/>
                    <w:left w:w="39" w:type="dxa"/>
                    <w:bottom w:w="39" w:type="dxa"/>
                    <w:right w:w="39" w:type="dxa"/>
                  </w:tcMar>
                </w:tcPr>
                <w:p w:rsidR="00420366" w:rsidRDefault="00AC5BC5">
                  <w:pPr>
                    <w:spacing w:after="0" w:line="240" w:lineRule="auto"/>
                  </w:pPr>
                  <w:r>
                    <w:rPr>
                      <w:rFonts w:ascii="Arial" w:eastAsia="Arial" w:hAnsi="Arial"/>
                      <w:b/>
                      <w:color w:val="000000"/>
                    </w:rPr>
                    <w:t>Godina: 2021</w:t>
                  </w:r>
                  <w:r w:rsidR="005E01B1">
                    <w:rPr>
                      <w:rFonts w:ascii="Arial" w:eastAsia="Arial" w:hAnsi="Arial"/>
                      <w:b/>
                      <w:color w:val="000000"/>
                    </w:rPr>
                    <w:t xml:space="preserve">                                                                                                                        I. IZMJENE PLANA NABAVE ZA 2021. GODINU</w:t>
                  </w:r>
                  <w:bookmarkStart w:id="0" w:name="_GoBack"/>
                  <w:bookmarkEnd w:id="0"/>
                </w:p>
              </w:tc>
            </w:tr>
          </w:tbl>
          <w:p w:rsidR="00420366" w:rsidRDefault="00420366">
            <w:pPr>
              <w:spacing w:after="0" w:line="240" w:lineRule="auto"/>
            </w:pPr>
          </w:p>
        </w:tc>
        <w:tc>
          <w:tcPr>
            <w:tcW w:w="1146" w:type="dxa"/>
          </w:tcPr>
          <w:p w:rsidR="00420366" w:rsidRDefault="00420366">
            <w:pPr>
              <w:pStyle w:val="EmptyCellLayoutStyle"/>
              <w:spacing w:after="0" w:line="240" w:lineRule="auto"/>
            </w:pPr>
          </w:p>
        </w:tc>
      </w:tr>
      <w:tr w:rsidR="00420366">
        <w:trPr>
          <w:trHeight w:val="100"/>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p w:rsidR="00420366" w:rsidRDefault="00420366">
            <w:pPr>
              <w:pStyle w:val="EmptyCellLayoutStyle"/>
              <w:spacing w:after="0" w:line="240" w:lineRule="auto"/>
            </w:pPr>
          </w:p>
        </w:tc>
        <w:tc>
          <w:tcPr>
            <w:tcW w:w="1146" w:type="dxa"/>
          </w:tcPr>
          <w:p w:rsidR="00420366" w:rsidRDefault="00420366">
            <w:pPr>
              <w:pStyle w:val="EmptyCellLayoutStyle"/>
              <w:spacing w:after="0" w:line="240" w:lineRule="auto"/>
            </w:pPr>
          </w:p>
        </w:tc>
      </w:tr>
      <w:tr w:rsidR="005E01B1" w:rsidTr="005E01B1">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6"/>
              <w:gridCol w:w="1357"/>
              <w:gridCol w:w="1752"/>
              <w:gridCol w:w="1328"/>
              <w:gridCol w:w="1361"/>
              <w:gridCol w:w="1705"/>
              <w:gridCol w:w="1316"/>
              <w:gridCol w:w="882"/>
              <w:gridCol w:w="1208"/>
              <w:gridCol w:w="1208"/>
              <w:gridCol w:w="941"/>
              <w:gridCol w:w="1346"/>
              <w:gridCol w:w="888"/>
              <w:gridCol w:w="914"/>
              <w:gridCol w:w="2055"/>
              <w:gridCol w:w="981"/>
            </w:tblGrid>
            <w:tr w:rsidR="00420366">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Procijenjena vrijednost nabave (u kunama)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Planirano trajanje ugovora ili okvirnog sporazu</w:t>
                  </w:r>
                  <w:r>
                    <w:rPr>
                      <w:rFonts w:ascii="Arial" w:eastAsia="Arial" w:hAnsi="Arial"/>
                      <w:b/>
                      <w:color w:val="000000"/>
                      <w:sz w:val="16"/>
                    </w:rPr>
                    <w:t>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420366" w:rsidRDefault="00AC5BC5">
                  <w:pPr>
                    <w:spacing w:after="0" w:line="240" w:lineRule="auto"/>
                    <w:jc w:val="center"/>
                  </w:pPr>
                  <w:r>
                    <w:rPr>
                      <w:rFonts w:ascii="Arial" w:eastAsia="Arial" w:hAnsi="Arial"/>
                      <w:b/>
                      <w:color w:val="000000"/>
                      <w:sz w:val="16"/>
                    </w:rPr>
                    <w:t>Status promjene</w:t>
                  </w: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opskrba električnom enegrijom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60.000,00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SDUSJN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OS</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nabave provodi Središnji državni ured za središnju javnu nabavu. Procijenjena vrijednost je iznos koji ovaj naručitelj planira na godišnjoj razini za predmetnu nabavnu kategoriju. Ugovor je sklopljen 1.2.2020. do 31.1.2022. na 2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gorivo - lož ulje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09100000-0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55.000,00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SDUSJN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OS</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nabave provodi Središnji državni ured za središnju javnu nabavu. Procijenjena vrijednost je iznos koji ovaj naručitelj planira na godišnjoj razini za predmetnu nabavnu kategoriju. Ugovor je sklopljen 18.2.2020. do 17.2.2021. Okvirni sporazum sklop</w:t>
                  </w:r>
                  <w:r>
                    <w:rPr>
                      <w:rFonts w:ascii="Arial" w:eastAsia="Arial" w:hAnsi="Arial"/>
                      <w:color w:val="000000"/>
                      <w:sz w:val="14"/>
                    </w:rPr>
                    <w:t>ljen na 3 godine, produžava se.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elektroničke komunikacijske usluge u pokretnoj mreži i oprema za korištenje istih</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64200000-8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SDUSJN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OS</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nabave provodi Središnji državni ured za središnju javnu nabavu. Procijenjena vrijednost je iznos koji ovaj naručitelj planira na godišnjoj razini za predmetnu nabavnu kategoriju. Ugovor je sklopljen 19.9.2018. na 2 godine. Okvirni sporazum sklopl</w:t>
                  </w:r>
                  <w:r>
                    <w:rPr>
                      <w:rFonts w:ascii="Arial" w:eastAsia="Arial" w:hAnsi="Arial"/>
                      <w:color w:val="000000"/>
                      <w:sz w:val="14"/>
                    </w:rPr>
                    <w:t>jen 14.6.2018. i traje 2 godine. Ujedno je sklopljen i Dodatak ugovora za produženje usluge i traje do okončanja novog postupka SDUSJN.</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elektroničke komunikacijske usluge u nepokretnoj mreži i oprema za korištenje istih</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64200000-8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19.622,00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proveo Središnji državni ured za središnju javnu nabavu. Ugovor sklopljen s Optima Telekomom d.d. 16.4.2019. Okvirni sporazum sklopljen 1.2.2018. na razdoblje od 3 godine.</w:t>
                  </w:r>
                  <w:r>
                    <w:rPr>
                      <w:rFonts w:ascii="Arial" w:eastAsia="Arial" w:hAnsi="Arial"/>
                      <w:color w:val="000000"/>
                      <w:sz w:val="14"/>
                    </w:rPr>
                    <w:br/>
                    <w:t>Skloplje</w:t>
                  </w:r>
                  <w:r>
                    <w:rPr>
                      <w:rFonts w:ascii="Arial" w:eastAsia="Arial" w:hAnsi="Arial"/>
                      <w:color w:val="000000"/>
                      <w:sz w:val="14"/>
                    </w:rPr>
                    <w:t>n Aneks 2 Ugovoru s Optimom Telekom kojim se mijenja postojeći Prilog I Ugovora - Troškovnik postojećih usluga. Osnovni ugovor s Optimom Telekom traje do 16.4.2022.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Izmijenjena</w:t>
                  </w:r>
                </w:p>
              </w:tc>
            </w:tr>
            <w:tr w:rsidR="0042036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420366">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422220</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elektroničke komunikacijske usluge u nepokretnoj mreži i oprema za korištenje istih</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64200000-8</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mjesec</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proveo Središnji državni ured za središnju javnu nabavu. Ugovor sklopljen s Optima Telekomom d.d. 16.4.2019. Okvirni sporazum sklopljen 1.2.2018. na razdoblje od 3 godine.</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lastRenderedPageBreak/>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poštanske usluge u unutarnjem i međunarodnom pro</w:t>
                  </w:r>
                  <w:r>
                    <w:rPr>
                      <w:rFonts w:ascii="Arial" w:eastAsia="Arial" w:hAnsi="Arial"/>
                      <w:color w:val="000000"/>
                      <w:sz w:val="14"/>
                    </w:rPr>
                    <w:t>metu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12.000,00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Društvene i posebne usluge</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Okvirni sporazum</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SDUSJN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OS</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nabave provodi Središnji državni ured za središnju javnu nabavu. Procijenjena vrijednost je iznos koji ovaj naručitelj planira na godišnjoj razini za predmetnu nabavnu kategoriju. Ugovor je sklopljen 1.3.2020. do 28.2.2022. na 2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knjige za knjižnicu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22113000-5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102.858,00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kupnja knjiga od više dobavljača, što tuzemnih što inozemnih, a sve zavisi od potreba tijekom godine, a koje iskažu korisnici knjižnice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računala i računalna oprema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30200000-1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71.200,00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Nije primjenjivo</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usluge čuvanja imovine i osoba - čuvarske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79713000-5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93.000,00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izuzet od primjene Zakona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oprema za grijanje/hlađenje/ventilaciju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39715200-9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uredski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39130000-2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71.200,00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usluge Student servisa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79600000-0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33.000,00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računalni programi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72212650-0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89.600,00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79300000-7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66.720,00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komunalne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65000000-3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241.000,00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službena putovanja i usavršavanje djelatnika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80522000-9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3292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premije osiguranja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66510000-8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25.000,00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usluge tekućeg i investicijskog održavanja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50000000-5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28.12.2020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Oprema za održavanje i zaštitu - vatrodojava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31625200-5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39.900,00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svibanj 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Izmijenjena</w:t>
                  </w:r>
                </w:p>
              </w:tc>
            </w:tr>
            <w:tr w:rsidR="00420366">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420366">
                  <w:pPr>
                    <w:spacing w:after="0" w:line="240" w:lineRule="auto"/>
                  </w:pP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4223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Oprema za održavanje i zaštitu - vatrodojava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 xml:space="preserve">35121700-5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39.900,00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svibanj 2021.</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420366" w:rsidRDefault="00420366">
                  <w:pPr>
                    <w:spacing w:after="0" w:line="240" w:lineRule="auto"/>
                  </w:pPr>
                </w:p>
              </w:tc>
            </w:tr>
            <w:tr w:rsidR="00420366">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3239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Uređenje prostora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45432110-8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right"/>
                  </w:pPr>
                  <w:r>
                    <w:rPr>
                      <w:rFonts w:ascii="Arial" w:eastAsia="Arial" w:hAnsi="Arial"/>
                      <w:color w:val="000000"/>
                      <w:sz w:val="14"/>
                    </w:rPr>
                    <w:t>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2021.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jc w:val="center"/>
                  </w:pPr>
                  <w:r>
                    <w:rPr>
                      <w:rFonts w:ascii="Arial" w:eastAsia="Arial" w:hAnsi="Arial"/>
                      <w:color w:val="000000"/>
                      <w:sz w:val="14"/>
                    </w:rPr>
                    <w:t>06.05.2021</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420366">
                  <w:pPr>
                    <w:spacing w:after="0" w:line="240" w:lineRule="auto"/>
                  </w:pP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Tijekom 2021. godine</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420366" w:rsidRDefault="00AC5BC5">
                  <w:pPr>
                    <w:spacing w:after="0" w:line="240" w:lineRule="auto"/>
                  </w:pPr>
                  <w:r>
                    <w:rPr>
                      <w:rFonts w:ascii="Arial" w:eastAsia="Arial" w:hAnsi="Arial"/>
                      <w:color w:val="000000"/>
                      <w:sz w:val="14"/>
                    </w:rPr>
                    <w:t>Dodana</w:t>
                  </w:r>
                </w:p>
              </w:tc>
            </w:tr>
          </w:tbl>
          <w:p w:rsidR="00420366" w:rsidRDefault="00420366">
            <w:pPr>
              <w:spacing w:after="0" w:line="240" w:lineRule="auto"/>
            </w:pPr>
          </w:p>
        </w:tc>
      </w:tr>
      <w:tr w:rsidR="00420366">
        <w:trPr>
          <w:trHeight w:val="79"/>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p w:rsidR="00420366" w:rsidRDefault="00420366">
            <w:pPr>
              <w:pStyle w:val="EmptyCellLayoutStyle"/>
              <w:spacing w:after="0" w:line="240" w:lineRule="auto"/>
            </w:pPr>
          </w:p>
        </w:tc>
        <w:tc>
          <w:tcPr>
            <w:tcW w:w="1146" w:type="dxa"/>
          </w:tcPr>
          <w:p w:rsidR="00420366" w:rsidRDefault="00420366">
            <w:pPr>
              <w:pStyle w:val="EmptyCellLayoutStyle"/>
              <w:spacing w:after="0" w:line="240" w:lineRule="auto"/>
            </w:pPr>
          </w:p>
        </w:tc>
      </w:tr>
      <w:tr w:rsidR="005E01B1" w:rsidTr="005E01B1">
        <w:trPr>
          <w:trHeight w:val="360"/>
        </w:trPr>
        <w:tc>
          <w:tcPr>
            <w:tcW w:w="35" w:type="dxa"/>
          </w:tcPr>
          <w:p w:rsidR="00420366" w:rsidRDefault="00420366">
            <w:pPr>
              <w:pStyle w:val="EmptyCellLayoutStyle"/>
              <w:spacing w:after="0" w:line="240" w:lineRule="auto"/>
            </w:pPr>
          </w:p>
        </w:tc>
        <w:tc>
          <w:tcPr>
            <w:tcW w:w="7" w:type="dxa"/>
            <w:gridSpan w:val="2"/>
          </w:tcPr>
          <w:tbl>
            <w:tblPr>
              <w:tblW w:w="0" w:type="auto"/>
              <w:tblCellMar>
                <w:left w:w="0" w:type="dxa"/>
                <w:right w:w="0" w:type="dxa"/>
              </w:tblCellMar>
              <w:tblLook w:val="0000" w:firstRow="0" w:lastRow="0" w:firstColumn="0" w:lastColumn="0" w:noHBand="0" w:noVBand="0"/>
            </w:tblPr>
            <w:tblGrid>
              <w:gridCol w:w="18487"/>
            </w:tblGrid>
            <w:tr w:rsidR="00420366">
              <w:trPr>
                <w:trHeight w:val="282"/>
              </w:trPr>
              <w:tc>
                <w:tcPr>
                  <w:tcW w:w="18488" w:type="dxa"/>
                  <w:tcBorders>
                    <w:top w:val="nil"/>
                    <w:left w:val="nil"/>
                    <w:bottom w:val="nil"/>
                    <w:right w:val="nil"/>
                  </w:tcBorders>
                  <w:tcMar>
                    <w:top w:w="39" w:type="dxa"/>
                    <w:left w:w="39" w:type="dxa"/>
                    <w:bottom w:w="39" w:type="dxa"/>
                    <w:right w:w="39" w:type="dxa"/>
                  </w:tcMar>
                </w:tcPr>
                <w:p w:rsidR="00420366" w:rsidRDefault="00AC5BC5">
                  <w:pPr>
                    <w:spacing w:after="0" w:line="240" w:lineRule="auto"/>
                  </w:pPr>
                  <w:r>
                    <w:rPr>
                      <w:rFonts w:ascii="Arial" w:eastAsia="Arial" w:hAnsi="Arial"/>
                      <w:b/>
                      <w:color w:val="000000"/>
                      <w:sz w:val="16"/>
                    </w:rPr>
                    <w:t>Datum zadnje izmjene plana: 06.05.2021 16:23</w:t>
                  </w:r>
                </w:p>
              </w:tc>
            </w:tr>
          </w:tbl>
          <w:p w:rsidR="00420366" w:rsidRDefault="00420366">
            <w:pPr>
              <w:spacing w:after="0" w:line="240" w:lineRule="auto"/>
            </w:pPr>
          </w:p>
        </w:tc>
        <w:tc>
          <w:tcPr>
            <w:tcW w:w="1146" w:type="dxa"/>
          </w:tcPr>
          <w:p w:rsidR="00420366" w:rsidRDefault="00420366">
            <w:pPr>
              <w:pStyle w:val="EmptyCellLayoutStyle"/>
              <w:spacing w:after="0" w:line="240" w:lineRule="auto"/>
            </w:pPr>
          </w:p>
        </w:tc>
      </w:tr>
      <w:tr w:rsidR="00420366">
        <w:trPr>
          <w:trHeight w:val="60"/>
        </w:trPr>
        <w:tc>
          <w:tcPr>
            <w:tcW w:w="35" w:type="dxa"/>
          </w:tcPr>
          <w:p w:rsidR="00420366" w:rsidRDefault="00420366">
            <w:pPr>
              <w:pStyle w:val="EmptyCellLayoutStyle"/>
              <w:spacing w:after="0" w:line="240" w:lineRule="auto"/>
            </w:pPr>
          </w:p>
        </w:tc>
        <w:tc>
          <w:tcPr>
            <w:tcW w:w="7" w:type="dxa"/>
          </w:tcPr>
          <w:p w:rsidR="00420366" w:rsidRDefault="00420366">
            <w:pPr>
              <w:pStyle w:val="EmptyCellLayoutStyle"/>
              <w:spacing w:after="0" w:line="240" w:lineRule="auto"/>
            </w:pPr>
          </w:p>
        </w:tc>
        <w:tc>
          <w:tcPr>
            <w:tcW w:w="18480" w:type="dxa"/>
          </w:tcPr>
          <w:p w:rsidR="00420366" w:rsidRDefault="00420366">
            <w:pPr>
              <w:pStyle w:val="EmptyCellLayoutStyle"/>
              <w:spacing w:after="0" w:line="240" w:lineRule="auto"/>
            </w:pPr>
          </w:p>
        </w:tc>
        <w:tc>
          <w:tcPr>
            <w:tcW w:w="1146" w:type="dxa"/>
          </w:tcPr>
          <w:p w:rsidR="00420366" w:rsidRDefault="00420366">
            <w:pPr>
              <w:pStyle w:val="EmptyCellLayoutStyle"/>
              <w:spacing w:after="0" w:line="240" w:lineRule="auto"/>
            </w:pPr>
          </w:p>
        </w:tc>
      </w:tr>
      <w:tr w:rsidR="005E01B1" w:rsidTr="005E01B1">
        <w:trPr>
          <w:trHeight w:val="360"/>
        </w:trPr>
        <w:tc>
          <w:tcPr>
            <w:tcW w:w="35" w:type="dxa"/>
          </w:tcPr>
          <w:p w:rsidR="00420366" w:rsidRDefault="00420366">
            <w:pPr>
              <w:pStyle w:val="EmptyCellLayoutStyle"/>
              <w:spacing w:after="0" w:line="240" w:lineRule="auto"/>
            </w:pPr>
          </w:p>
        </w:tc>
        <w:tc>
          <w:tcPr>
            <w:tcW w:w="7" w:type="dxa"/>
            <w:gridSpan w:val="2"/>
          </w:tcPr>
          <w:tbl>
            <w:tblPr>
              <w:tblW w:w="0" w:type="auto"/>
              <w:tblCellMar>
                <w:left w:w="0" w:type="dxa"/>
                <w:right w:w="0" w:type="dxa"/>
              </w:tblCellMar>
              <w:tblLook w:val="0000" w:firstRow="0" w:lastRow="0" w:firstColumn="0" w:lastColumn="0" w:noHBand="0" w:noVBand="0"/>
            </w:tblPr>
            <w:tblGrid>
              <w:gridCol w:w="18487"/>
            </w:tblGrid>
            <w:tr w:rsidR="00420366">
              <w:trPr>
                <w:trHeight w:val="282"/>
              </w:trPr>
              <w:tc>
                <w:tcPr>
                  <w:tcW w:w="18488" w:type="dxa"/>
                  <w:tcBorders>
                    <w:top w:val="nil"/>
                    <w:left w:val="nil"/>
                    <w:bottom w:val="nil"/>
                    <w:right w:val="nil"/>
                  </w:tcBorders>
                  <w:tcMar>
                    <w:top w:w="39" w:type="dxa"/>
                    <w:left w:w="39" w:type="dxa"/>
                    <w:bottom w:w="39" w:type="dxa"/>
                    <w:right w:w="39" w:type="dxa"/>
                  </w:tcMar>
                </w:tcPr>
                <w:p w:rsidR="00420366" w:rsidRDefault="00AC5BC5">
                  <w:pPr>
                    <w:spacing w:after="0" w:line="240" w:lineRule="auto"/>
                  </w:pPr>
                  <w:r>
                    <w:rPr>
                      <w:rFonts w:ascii="Arial" w:eastAsia="Arial" w:hAnsi="Arial"/>
                      <w:b/>
                      <w:color w:val="000000"/>
                      <w:sz w:val="16"/>
                    </w:rPr>
                    <w:t>Datum objave plana nabave: 28.12.2020 11:00</w:t>
                  </w:r>
                </w:p>
              </w:tc>
            </w:tr>
          </w:tbl>
          <w:p w:rsidR="00420366" w:rsidRDefault="00420366">
            <w:pPr>
              <w:spacing w:after="0" w:line="240" w:lineRule="auto"/>
            </w:pPr>
          </w:p>
        </w:tc>
        <w:tc>
          <w:tcPr>
            <w:tcW w:w="1146" w:type="dxa"/>
          </w:tcPr>
          <w:p w:rsidR="00420366" w:rsidRDefault="00420366">
            <w:pPr>
              <w:pStyle w:val="EmptyCellLayoutStyle"/>
              <w:spacing w:after="0" w:line="240" w:lineRule="auto"/>
            </w:pPr>
          </w:p>
        </w:tc>
      </w:tr>
    </w:tbl>
    <w:p w:rsidR="00420366" w:rsidRDefault="00420366">
      <w:pPr>
        <w:spacing w:after="0" w:line="240" w:lineRule="auto"/>
      </w:pPr>
    </w:p>
    <w:sectPr w:rsidR="00420366">
      <w:headerReference w:type="default" r:id="rId7"/>
      <w:footerReference w:type="default" r:id="rId8"/>
      <w:pgSz w:w="20803" w:h="11908"/>
      <w:pgMar w:top="566" w:right="566" w:bottom="566" w:left="566"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C5" w:rsidRDefault="00AC5BC5">
      <w:pPr>
        <w:spacing w:after="0" w:line="240" w:lineRule="auto"/>
      </w:pPr>
      <w:r>
        <w:separator/>
      </w:r>
    </w:p>
  </w:endnote>
  <w:endnote w:type="continuationSeparator" w:id="0">
    <w:p w:rsidR="00AC5BC5" w:rsidRDefault="00AC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8556"/>
      <w:gridCol w:w="1113"/>
    </w:tblGrid>
    <w:tr w:rsidR="00420366">
      <w:tc>
        <w:tcPr>
          <w:tcW w:w="18556" w:type="dxa"/>
        </w:tcPr>
        <w:p w:rsidR="00420366" w:rsidRDefault="00420366">
          <w:pPr>
            <w:pStyle w:val="EmptyCellLayoutStyle"/>
            <w:spacing w:after="0" w:line="240" w:lineRule="auto"/>
          </w:pPr>
        </w:p>
      </w:tc>
      <w:tc>
        <w:tcPr>
          <w:tcW w:w="1113" w:type="dxa"/>
        </w:tcPr>
        <w:p w:rsidR="00420366" w:rsidRDefault="00420366">
          <w:pPr>
            <w:pStyle w:val="EmptyCellLayoutStyle"/>
            <w:spacing w:after="0" w:line="240" w:lineRule="auto"/>
          </w:pPr>
        </w:p>
      </w:tc>
    </w:tr>
    <w:tr w:rsidR="00420366">
      <w:tc>
        <w:tcPr>
          <w:tcW w:w="18556" w:type="dxa"/>
        </w:tcPr>
        <w:tbl>
          <w:tblPr>
            <w:tblW w:w="0" w:type="auto"/>
            <w:tblCellMar>
              <w:left w:w="0" w:type="dxa"/>
              <w:right w:w="0" w:type="dxa"/>
            </w:tblCellMar>
            <w:tblLook w:val="0000" w:firstRow="0" w:lastRow="0" w:firstColumn="0" w:lastColumn="0" w:noHBand="0" w:noVBand="0"/>
          </w:tblPr>
          <w:tblGrid>
            <w:gridCol w:w="18556"/>
          </w:tblGrid>
          <w:tr w:rsidR="00420366">
            <w:trPr>
              <w:trHeight w:val="262"/>
            </w:trPr>
            <w:tc>
              <w:tcPr>
                <w:tcW w:w="18556" w:type="dxa"/>
                <w:tcBorders>
                  <w:top w:val="nil"/>
                  <w:left w:val="nil"/>
                  <w:bottom w:val="nil"/>
                  <w:right w:val="nil"/>
                </w:tcBorders>
                <w:tcMar>
                  <w:top w:w="39" w:type="dxa"/>
                  <w:left w:w="39" w:type="dxa"/>
                  <w:bottom w:w="39" w:type="dxa"/>
                  <w:right w:w="39" w:type="dxa"/>
                </w:tcMar>
              </w:tcPr>
              <w:p w:rsidR="00420366" w:rsidRDefault="00AC5BC5">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FC2BF9">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FC2BF9">
                  <w:rPr>
                    <w:rFonts w:ascii="Arial" w:eastAsia="Arial" w:hAnsi="Arial"/>
                    <w:b/>
                    <w:noProof/>
                    <w:color w:val="000000"/>
                    <w:sz w:val="16"/>
                  </w:rPr>
                  <w:t>2</w:t>
                </w:r>
                <w:r>
                  <w:rPr>
                    <w:rFonts w:ascii="Arial" w:eastAsia="Arial" w:hAnsi="Arial"/>
                    <w:b/>
                    <w:color w:val="000000"/>
                    <w:sz w:val="16"/>
                  </w:rPr>
                  <w:fldChar w:fldCharType="end"/>
                </w:r>
              </w:p>
            </w:tc>
          </w:tr>
        </w:tbl>
        <w:p w:rsidR="00420366" w:rsidRDefault="00420366">
          <w:pPr>
            <w:spacing w:after="0" w:line="240" w:lineRule="auto"/>
          </w:pPr>
        </w:p>
      </w:tc>
      <w:tc>
        <w:tcPr>
          <w:tcW w:w="1113" w:type="dxa"/>
        </w:tcPr>
        <w:p w:rsidR="00420366" w:rsidRDefault="00420366">
          <w:pPr>
            <w:pStyle w:val="EmptyCellLayoutStyle"/>
            <w:spacing w:after="0" w:line="240" w:lineRule="auto"/>
          </w:pPr>
        </w:p>
      </w:tc>
    </w:tr>
    <w:tr w:rsidR="00420366">
      <w:tc>
        <w:tcPr>
          <w:tcW w:w="18556" w:type="dxa"/>
        </w:tcPr>
        <w:p w:rsidR="00420366" w:rsidRDefault="00420366">
          <w:pPr>
            <w:pStyle w:val="EmptyCellLayoutStyle"/>
            <w:spacing w:after="0" w:line="240" w:lineRule="auto"/>
          </w:pPr>
        </w:p>
      </w:tc>
      <w:tc>
        <w:tcPr>
          <w:tcW w:w="1113" w:type="dxa"/>
        </w:tcPr>
        <w:p w:rsidR="00420366" w:rsidRDefault="00420366">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C5" w:rsidRDefault="00AC5BC5">
      <w:pPr>
        <w:spacing w:after="0" w:line="240" w:lineRule="auto"/>
      </w:pPr>
      <w:r>
        <w:separator/>
      </w:r>
    </w:p>
  </w:footnote>
  <w:footnote w:type="continuationSeparator" w:id="0">
    <w:p w:rsidR="00AC5BC5" w:rsidRDefault="00AC5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35"/>
      <w:gridCol w:w="1195"/>
      <w:gridCol w:w="17285"/>
      <w:gridCol w:w="1153"/>
    </w:tblGrid>
    <w:tr w:rsidR="00420366">
      <w:tc>
        <w:tcPr>
          <w:tcW w:w="35" w:type="dxa"/>
        </w:tcPr>
        <w:p w:rsidR="00420366" w:rsidRDefault="00420366">
          <w:pPr>
            <w:pStyle w:val="EmptyCellLayoutStyle"/>
            <w:spacing w:after="0" w:line="240" w:lineRule="auto"/>
          </w:pPr>
        </w:p>
      </w:tc>
      <w:tc>
        <w:tcPr>
          <w:tcW w:w="1195" w:type="dxa"/>
        </w:tcPr>
        <w:p w:rsidR="00420366" w:rsidRDefault="00420366">
          <w:pPr>
            <w:pStyle w:val="EmptyCellLayoutStyle"/>
            <w:spacing w:after="0" w:line="240" w:lineRule="auto"/>
          </w:pPr>
        </w:p>
      </w:tc>
      <w:tc>
        <w:tcPr>
          <w:tcW w:w="17285" w:type="dxa"/>
        </w:tcPr>
        <w:p w:rsidR="00420366" w:rsidRDefault="00420366">
          <w:pPr>
            <w:pStyle w:val="EmptyCellLayoutStyle"/>
            <w:spacing w:after="0" w:line="240" w:lineRule="auto"/>
          </w:pPr>
        </w:p>
      </w:tc>
      <w:tc>
        <w:tcPr>
          <w:tcW w:w="1153" w:type="dxa"/>
        </w:tcPr>
        <w:p w:rsidR="00420366" w:rsidRDefault="00420366">
          <w:pPr>
            <w:pStyle w:val="EmptyCellLayoutStyle"/>
            <w:spacing w:after="0" w:line="240" w:lineRule="auto"/>
          </w:pPr>
        </w:p>
      </w:tc>
    </w:tr>
    <w:tr w:rsidR="00420366">
      <w:tc>
        <w:tcPr>
          <w:tcW w:w="35" w:type="dxa"/>
        </w:tcPr>
        <w:p w:rsidR="00420366" w:rsidRDefault="00420366">
          <w:pPr>
            <w:pStyle w:val="EmptyCellLayoutStyle"/>
            <w:spacing w:after="0" w:line="240" w:lineRule="auto"/>
          </w:pPr>
        </w:p>
      </w:tc>
      <w:tc>
        <w:tcPr>
          <w:tcW w:w="1195" w:type="dxa"/>
          <w:vMerge w:val="restart"/>
          <w:tcBorders>
            <w:top w:val="nil"/>
            <w:left w:val="nil"/>
            <w:bottom w:val="nil"/>
            <w:right w:val="nil"/>
          </w:tcBorders>
          <w:tcMar>
            <w:top w:w="0" w:type="dxa"/>
            <w:left w:w="0" w:type="dxa"/>
            <w:bottom w:w="0" w:type="dxa"/>
            <w:right w:w="0" w:type="dxa"/>
          </w:tcMar>
        </w:tcPr>
        <w:p w:rsidR="00420366" w:rsidRDefault="00AC5BC5">
          <w:pPr>
            <w:spacing w:after="0" w:line="240" w:lineRule="auto"/>
          </w:pPr>
          <w:r>
            <w:rPr>
              <w:noProof/>
            </w:rPr>
            <w:drawing>
              <wp:inline distT="0" distB="0" distL="0" distR="0">
                <wp:extent cx="759074" cy="253024"/>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59074" cy="253024"/>
                        </a:xfrm>
                        <a:prstGeom prst="rect">
                          <a:avLst/>
                        </a:prstGeom>
                      </pic:spPr>
                    </pic:pic>
                  </a:graphicData>
                </a:graphic>
              </wp:inline>
            </w:drawing>
          </w:r>
        </w:p>
      </w:tc>
      <w:tc>
        <w:tcPr>
          <w:tcW w:w="17285" w:type="dxa"/>
        </w:tcPr>
        <w:p w:rsidR="00420366" w:rsidRDefault="00420366">
          <w:pPr>
            <w:pStyle w:val="EmptyCellLayoutStyle"/>
            <w:spacing w:after="0" w:line="240" w:lineRule="auto"/>
          </w:pPr>
        </w:p>
      </w:tc>
      <w:tc>
        <w:tcPr>
          <w:tcW w:w="1153" w:type="dxa"/>
        </w:tcPr>
        <w:p w:rsidR="00420366" w:rsidRDefault="00420366">
          <w:pPr>
            <w:pStyle w:val="EmptyCellLayoutStyle"/>
            <w:spacing w:after="0" w:line="240" w:lineRule="auto"/>
          </w:pPr>
        </w:p>
      </w:tc>
    </w:tr>
    <w:tr w:rsidR="00420366">
      <w:tc>
        <w:tcPr>
          <w:tcW w:w="35" w:type="dxa"/>
        </w:tcPr>
        <w:p w:rsidR="00420366" w:rsidRDefault="00420366">
          <w:pPr>
            <w:pStyle w:val="EmptyCellLayoutStyle"/>
            <w:spacing w:after="0" w:line="240" w:lineRule="auto"/>
          </w:pPr>
        </w:p>
      </w:tc>
      <w:tc>
        <w:tcPr>
          <w:tcW w:w="1195" w:type="dxa"/>
          <w:vMerge/>
        </w:tcPr>
        <w:p w:rsidR="00420366" w:rsidRDefault="00420366">
          <w:pPr>
            <w:pStyle w:val="EmptyCellLayoutStyle"/>
            <w:spacing w:after="0" w:line="240" w:lineRule="auto"/>
          </w:pPr>
        </w:p>
      </w:tc>
      <w:tc>
        <w:tcPr>
          <w:tcW w:w="17285" w:type="dxa"/>
        </w:tcPr>
        <w:tbl>
          <w:tblPr>
            <w:tblW w:w="0" w:type="auto"/>
            <w:tblCellMar>
              <w:left w:w="0" w:type="dxa"/>
              <w:right w:w="0" w:type="dxa"/>
            </w:tblCellMar>
            <w:tblLook w:val="0000" w:firstRow="0" w:lastRow="0" w:firstColumn="0" w:lastColumn="0" w:noHBand="0" w:noVBand="0"/>
          </w:tblPr>
          <w:tblGrid>
            <w:gridCol w:w="17285"/>
          </w:tblGrid>
          <w:tr w:rsidR="00420366">
            <w:trPr>
              <w:trHeight w:val="262"/>
            </w:trPr>
            <w:tc>
              <w:tcPr>
                <w:tcW w:w="17285" w:type="dxa"/>
                <w:tcBorders>
                  <w:top w:val="nil"/>
                  <w:left w:val="nil"/>
                  <w:bottom w:val="nil"/>
                  <w:right w:val="nil"/>
                </w:tcBorders>
                <w:tcMar>
                  <w:top w:w="39" w:type="dxa"/>
                  <w:left w:w="39" w:type="dxa"/>
                  <w:bottom w:w="39" w:type="dxa"/>
                  <w:right w:w="39" w:type="dxa"/>
                </w:tcMar>
              </w:tcPr>
              <w:p w:rsidR="00420366" w:rsidRDefault="00AC5BC5">
                <w:pPr>
                  <w:spacing w:after="0" w:line="240" w:lineRule="auto"/>
                </w:pPr>
                <w:r>
                  <w:rPr>
                    <w:rFonts w:ascii="Arial" w:eastAsia="Arial" w:hAnsi="Arial"/>
                    <w:b/>
                    <w:color w:val="000000"/>
                    <w:sz w:val="24"/>
                  </w:rPr>
                  <w:t>PLAN NABAVE</w:t>
                </w:r>
              </w:p>
            </w:tc>
          </w:tr>
        </w:tbl>
        <w:p w:rsidR="00420366" w:rsidRDefault="00420366">
          <w:pPr>
            <w:spacing w:after="0" w:line="240" w:lineRule="auto"/>
          </w:pPr>
        </w:p>
      </w:tc>
      <w:tc>
        <w:tcPr>
          <w:tcW w:w="1153" w:type="dxa"/>
        </w:tcPr>
        <w:p w:rsidR="00420366" w:rsidRDefault="00420366">
          <w:pPr>
            <w:pStyle w:val="EmptyCellLayoutStyle"/>
            <w:spacing w:after="0" w:line="240" w:lineRule="auto"/>
          </w:pPr>
        </w:p>
      </w:tc>
    </w:tr>
    <w:tr w:rsidR="00420366">
      <w:tc>
        <w:tcPr>
          <w:tcW w:w="35" w:type="dxa"/>
        </w:tcPr>
        <w:p w:rsidR="00420366" w:rsidRDefault="00420366">
          <w:pPr>
            <w:pStyle w:val="EmptyCellLayoutStyle"/>
            <w:spacing w:after="0" w:line="240" w:lineRule="auto"/>
          </w:pPr>
        </w:p>
      </w:tc>
      <w:tc>
        <w:tcPr>
          <w:tcW w:w="1195" w:type="dxa"/>
        </w:tcPr>
        <w:p w:rsidR="00420366" w:rsidRDefault="00420366">
          <w:pPr>
            <w:pStyle w:val="EmptyCellLayoutStyle"/>
            <w:spacing w:after="0" w:line="240" w:lineRule="auto"/>
          </w:pPr>
        </w:p>
      </w:tc>
      <w:tc>
        <w:tcPr>
          <w:tcW w:w="17285" w:type="dxa"/>
        </w:tcPr>
        <w:p w:rsidR="00420366" w:rsidRDefault="00420366">
          <w:pPr>
            <w:pStyle w:val="EmptyCellLayoutStyle"/>
            <w:spacing w:after="0" w:line="240" w:lineRule="auto"/>
          </w:pPr>
        </w:p>
      </w:tc>
      <w:tc>
        <w:tcPr>
          <w:tcW w:w="1153" w:type="dxa"/>
        </w:tcPr>
        <w:p w:rsidR="00420366" w:rsidRDefault="00420366">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66"/>
    <w:rsid w:val="00420366"/>
    <w:rsid w:val="005E01B1"/>
    <w:rsid w:val="00AC5BC5"/>
    <w:rsid w:val="00FC2B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BF53"/>
  <w15:docId w15:val="{795B7B00-BC8F-4755-960D-3D6B121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Rpt_PlanNabave</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Rpt_PlanNabave</dc:title>
  <dc:creator>Snježana Pantoš</dc:creator>
  <dc:description/>
  <cp:lastModifiedBy>Snježana Pantoš</cp:lastModifiedBy>
  <cp:revision>2</cp:revision>
  <dcterms:created xsi:type="dcterms:W3CDTF">2021-05-07T07:45:00Z</dcterms:created>
  <dcterms:modified xsi:type="dcterms:W3CDTF">2021-05-07T07:45:00Z</dcterms:modified>
</cp:coreProperties>
</file>