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tbl>
      <w:tblPr>
        <w:tblStyle w:val="5"/>
        <w:tblW w:w="8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1566"/>
        <w:gridCol w:w="3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2"/>
          </w:tcPr>
          <w:p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SVEUČILIŠTE U RIJECI SVEUČILIŠNA KNJIŽNICA RIJEKA</w:t>
            </w:r>
          </w:p>
        </w:tc>
        <w:tc>
          <w:tcPr>
            <w:tcW w:w="3645" w:type="dxa"/>
          </w:tcPr>
          <w:p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2"/>
          </w:tcPr>
          <w:p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RKP: 2493</w:t>
            </w:r>
          </w:p>
        </w:tc>
        <w:tc>
          <w:tcPr>
            <w:tcW w:w="3645" w:type="dxa"/>
          </w:tcPr>
          <w:p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2"/>
          </w:tcPr>
          <w:p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Razdjel: 080</w:t>
            </w:r>
          </w:p>
        </w:tc>
        <w:tc>
          <w:tcPr>
            <w:tcW w:w="3645" w:type="dxa"/>
          </w:tcPr>
          <w:p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2"/>
          </w:tcPr>
          <w:p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Dolac 1</w:t>
            </w:r>
          </w:p>
          <w:p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51000 Rijeka</w:t>
            </w:r>
          </w:p>
        </w:tc>
        <w:tc>
          <w:tcPr>
            <w:tcW w:w="3645" w:type="dxa"/>
          </w:tcPr>
          <w:p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11" w:type="dxa"/>
        </w:trPr>
        <w:tc>
          <w:tcPr>
            <w:tcW w:w="3645" w:type="dxa"/>
          </w:tcPr>
          <w:p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Razina:  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11" w:type="dxa"/>
        </w:trPr>
        <w:tc>
          <w:tcPr>
            <w:tcW w:w="3645" w:type="dxa"/>
          </w:tcPr>
          <w:p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11" w:type="dxa"/>
        </w:trPr>
        <w:tc>
          <w:tcPr>
            <w:tcW w:w="3645" w:type="dxa"/>
          </w:tcPr>
          <w:p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Matični broj: 03328686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11" w:type="dxa"/>
        </w:trPr>
        <w:tc>
          <w:tcPr>
            <w:tcW w:w="3645" w:type="dxa"/>
          </w:tcPr>
          <w:p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OIB: 84122581314</w:t>
            </w:r>
          </w:p>
          <w:p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Šifa djelatnosti prema NKD-u:   9101</w:t>
            </w:r>
          </w:p>
          <w:p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>
      <w:pPr>
        <w:rPr>
          <w:rFonts w:asciiTheme="minorHAnsi" w:hAnsiTheme="minorHAnsi"/>
          <w:sz w:val="22"/>
        </w:rPr>
      </w:pPr>
    </w:p>
    <w:p>
      <w:pPr>
        <w:rPr>
          <w:rFonts w:asciiTheme="minorHAnsi" w:hAnsiTheme="minorHAnsi"/>
          <w:sz w:val="22"/>
        </w:rPr>
      </w:pPr>
    </w:p>
    <w:p>
      <w:pPr>
        <w:rPr>
          <w:rFonts w:asciiTheme="minorHAnsi" w:hAnsiTheme="minorHAnsi"/>
          <w:sz w:val="22"/>
        </w:rPr>
      </w:pPr>
    </w:p>
    <w:p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BILJEŠKE UZ FINANCIJSKA IZVJEŠĆA</w:t>
      </w:r>
    </w:p>
    <w:p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ZA RAZDOBLJE OD 01. SIJEČNJA DO 31. PROSINCA 202</w:t>
      </w:r>
      <w:r>
        <w:rPr>
          <w:rFonts w:hint="default" w:asciiTheme="minorHAnsi" w:hAnsiTheme="minorHAnsi"/>
          <w:b/>
          <w:sz w:val="22"/>
          <w:lang w:val="hr-HR"/>
        </w:rPr>
        <w:t>3</w:t>
      </w:r>
      <w:r>
        <w:rPr>
          <w:rFonts w:asciiTheme="minorHAnsi" w:hAnsiTheme="minorHAnsi"/>
          <w:b/>
          <w:sz w:val="22"/>
        </w:rPr>
        <w:t>.</w:t>
      </w:r>
    </w:p>
    <w:p>
      <w:pPr>
        <w:jc w:val="center"/>
        <w:rPr>
          <w:rFonts w:asciiTheme="minorHAnsi" w:hAnsiTheme="minorHAnsi"/>
          <w:b/>
          <w:sz w:val="22"/>
        </w:rPr>
      </w:pPr>
    </w:p>
    <w:p>
      <w:pPr>
        <w:jc w:val="center"/>
        <w:rPr>
          <w:rFonts w:asciiTheme="minorHAnsi" w:hAnsiTheme="minorHAnsi"/>
          <w:b/>
          <w:sz w:val="22"/>
        </w:rPr>
      </w:pPr>
    </w:p>
    <w:p>
      <w:pPr>
        <w:jc w:val="center"/>
        <w:rPr>
          <w:rFonts w:asciiTheme="minorHAnsi" w:hAnsiTheme="minorHAnsi"/>
          <w:b/>
          <w:sz w:val="22"/>
        </w:rPr>
      </w:pPr>
    </w:p>
    <w:p>
      <w:pPr>
        <w:pStyle w:val="7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UVODNI DIO BILJEŠKI UZ FINANCIJSKE IZVJEŠTAJE</w:t>
      </w:r>
    </w:p>
    <w:p>
      <w:pPr>
        <w:pStyle w:val="7"/>
        <w:jc w:val="both"/>
        <w:rPr>
          <w:rFonts w:asciiTheme="minorHAnsi" w:hAnsiTheme="minorHAnsi"/>
          <w:b/>
          <w:bCs/>
        </w:rPr>
      </w:pPr>
    </w:p>
    <w:p>
      <w:pPr>
        <w:pStyle w:val="7"/>
        <w:jc w:val="both"/>
        <w:rPr>
          <w:rFonts w:asciiTheme="minorHAnsi" w:hAnsiTheme="minorHAnsi"/>
          <w:b/>
          <w:bCs/>
        </w:rPr>
      </w:pPr>
    </w:p>
    <w:p>
      <w:pPr>
        <w:jc w:val="both"/>
        <w:rPr>
          <w:rFonts w:ascii="Calibri" w:hAnsi="Calibri" w:cstheme="minorHAnsi"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Calibri" w:hAnsi="Calibri" w:cstheme="minorHAnsi"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  <w:t xml:space="preserve">Primarni zadatak Sveučilišne knjižnice Rijeka je izgrađivati fondove i usluge primjerene potrebama pripadnika Sveučilišta u Rijeci te osigurati njihovo korištenje u cilju unaprjeđenja kvalitete učenja, obrazovnog, znanstvenog, stručnog, umjetničkog i svakog drugog rada. Knjižnica potiče usklađeni razvoj knjižnica Sveučilišta kroz sveučilišni knjižnični sustav otvoren ostalim visokoškolskim i specijalnim (stručnim, znanstvenim i spomeničkim) knjižnicama u regiji. </w:t>
      </w:r>
    </w:p>
    <w:p>
      <w:pPr>
        <w:jc w:val="both"/>
        <w:rPr>
          <w:rFonts w:ascii="Calibri" w:hAnsi="Calibri" w:cstheme="minorHAnsi"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  <w:t>Osim poslova na izgradnji i osiguravanju pristupa svojim fondovima, SVKRI priređuje programe edukacije korisnika za korištenje knjižnične građe i usluga. U cilju promidžbe zapisanog znanja i knjižničarske struke, knjižnica priređuje i različite knjižnične događaje za javnost (izložbe i druge kulturne i obrazovne događaje).</w:t>
      </w:r>
    </w:p>
    <w:p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  <w:t>Provodi istraživanja u knjižničnoj i informacijskoj znanosti. Priređuje stručne i znanstvene skupove u području knjižničarske i informacijske znanosti i programe cjeloživotnog učenja za knjižnično osoblje na području svoje matičnosti. Objavljuje stručne publikacije iz područja knjižnične i informacijske znanosti.</w:t>
      </w:r>
    </w:p>
    <w:p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  <w:t>Zakonske i druge pravne osnove</w:t>
      </w:r>
    </w:p>
    <w:p>
      <w:pPr>
        <w:pStyle w:val="13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  <w:t>Statut Sveučilišne knjižnice Rijeka (pročišćeni tekst) od 9. srpnja 2020. godine</w:t>
      </w:r>
    </w:p>
    <w:p>
      <w:pPr>
        <w:pStyle w:val="13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  <w:t>Zakon o znanstvenoj djelatnosti i visokom obrazovanju (NN 123/03 do 13/17)</w:t>
      </w:r>
    </w:p>
    <w:p>
      <w:pPr>
        <w:pStyle w:val="13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  <w:t>Kolektivni ugovor za znanost i visoko obrazovanje (NN 9/2019)</w:t>
      </w:r>
    </w:p>
    <w:p>
      <w:pPr>
        <w:pStyle w:val="13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  <w:t>Temeljni kolektivni ugovor za službenike i namještenike u javnim službama (NN 128/17), dopuna, Dodatak i Dodatak II)</w:t>
      </w:r>
    </w:p>
    <w:p>
      <w:p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</w:p>
    <w:p>
      <w:p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</w:p>
    <w:p>
      <w:p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</w:p>
    <w:p>
      <w:p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  <w:t>Zakon o profesionalnoj rehabilitaciji i zapošljavanju osoba s invaliditetom</w:t>
      </w:r>
    </w:p>
    <w:p>
      <w:pPr>
        <w:pStyle w:val="13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  <w:t>pročišćeni tekst zakona (NN 157/13 do 32/20)</w:t>
      </w:r>
    </w:p>
    <w:p>
      <w:pPr>
        <w:pStyle w:val="13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  <w14:textFill>
            <w14:solidFill>
              <w14:schemeClr w14:val="tx1"/>
            </w14:solidFill>
          </w14:textFill>
        </w:rPr>
        <w:t>Strategija Sveučilišne knjižnice Rijeka 2021.-2025. od 17. prosinca 2020. godine</w:t>
      </w:r>
    </w:p>
    <w:p>
      <w:pPr>
        <w:pStyle w:val="7"/>
        <w:jc w:val="both"/>
        <w:rPr>
          <w:rFonts w:asciiTheme="minorHAnsi" w:hAnsiTheme="minorHAnsi"/>
          <w:b/>
          <w:bCs/>
          <w:u w:val="single" w:color="FFFFFF" w:themeColor="background1"/>
        </w:rPr>
      </w:pPr>
    </w:p>
    <w:p>
      <w:pPr>
        <w:pStyle w:val="7"/>
        <w:jc w:val="both"/>
        <w:rPr>
          <w:rFonts w:asciiTheme="minorHAnsi" w:hAnsiTheme="minorHAnsi"/>
          <w:b/>
          <w:bCs/>
        </w:rPr>
      </w:pPr>
    </w:p>
    <w:p>
      <w:pPr>
        <w:pStyle w:val="7"/>
        <w:jc w:val="both"/>
        <w:rPr>
          <w:rFonts w:asciiTheme="minorHAnsi" w:hAnsiTheme="minorHAnsi"/>
          <w:b/>
          <w:u w:val="single"/>
        </w:rPr>
      </w:pPr>
    </w:p>
    <w:p>
      <w:pPr>
        <w:pStyle w:val="7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BILJEŠKE UZ BILANCU</w:t>
      </w:r>
    </w:p>
    <w:p>
      <w:pPr>
        <w:pStyle w:val="7"/>
        <w:jc w:val="both"/>
        <w:rPr>
          <w:rFonts w:asciiTheme="minorHAnsi" w:hAnsiTheme="minorHAnsi"/>
          <w:b/>
          <w:u w:val="single"/>
        </w:rPr>
      </w:pPr>
    </w:p>
    <w:p>
      <w:pPr>
        <w:pStyle w:val="7"/>
        <w:jc w:val="both"/>
        <w:rPr>
          <w:rFonts w:asciiTheme="minorHAnsi" w:hAnsiTheme="minorHAnsi"/>
          <w:b/>
          <w:u w:val="single"/>
        </w:rPr>
      </w:pPr>
    </w:p>
    <w:p>
      <w:pPr>
        <w:pStyle w:val="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1 – Imovina</w:t>
      </w: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Ukupna imovina iznosi </w:t>
      </w:r>
      <w:r>
        <w:rPr>
          <w:rFonts w:hint="default" w:asciiTheme="minorHAnsi" w:hAnsiTheme="minorHAnsi"/>
          <w:lang w:val="hr-HR"/>
        </w:rPr>
        <w:t>5.718.049,64 €</w:t>
      </w:r>
      <w:r>
        <w:rPr>
          <w:rFonts w:asciiTheme="minorHAnsi" w:hAnsiTheme="minorHAnsi"/>
        </w:rPr>
        <w:t xml:space="preserve"> i u usporedbi sa 202</w:t>
      </w:r>
      <w:r>
        <w:rPr>
          <w:rFonts w:hint="default" w:asciiTheme="minorHAnsi" w:hAnsiTheme="minorHAnsi"/>
          <w:lang w:val="hr-HR"/>
        </w:rPr>
        <w:t>2</w:t>
      </w:r>
      <w:r>
        <w:rPr>
          <w:rFonts w:asciiTheme="minorHAnsi" w:hAnsiTheme="minorHAnsi"/>
        </w:rPr>
        <w:t xml:space="preserve">. godinom povećana je za </w:t>
      </w:r>
      <w:r>
        <w:rPr>
          <w:rFonts w:hint="default" w:asciiTheme="minorHAnsi" w:hAnsiTheme="minorHAnsi"/>
          <w:lang w:val="hr-HR"/>
        </w:rPr>
        <w:t>7</w:t>
      </w:r>
      <w:r>
        <w:rPr>
          <w:rFonts w:asciiTheme="minorHAnsi" w:hAnsiTheme="minorHAnsi"/>
        </w:rPr>
        <w:t xml:space="preserve">%. Povećanje je rezultat ulaganja u dugotrajnu imovinu – knjige i pohranjene vrijednosti, nabavu računovodstvene opreme i ulaganja u prostor. Imovinu čine nefinancijska imovina u iznosu od </w:t>
      </w:r>
      <w:r>
        <w:rPr>
          <w:rFonts w:hint="default" w:asciiTheme="minorHAnsi" w:hAnsiTheme="minorHAnsi"/>
          <w:lang w:val="hr-HR"/>
        </w:rPr>
        <w:t>5.622.132,97 €</w:t>
      </w:r>
      <w:r>
        <w:rPr>
          <w:rFonts w:asciiTheme="minorHAnsi" w:hAnsiTheme="minorHAnsi"/>
        </w:rPr>
        <w:t xml:space="preserve">  i financijska imovina u iznosu od  </w:t>
      </w:r>
      <w:r>
        <w:rPr>
          <w:rFonts w:hint="default" w:asciiTheme="minorHAnsi" w:hAnsiTheme="minorHAnsi"/>
          <w:lang w:val="hr-HR"/>
        </w:rPr>
        <w:t>95.916,67 €</w:t>
      </w:r>
      <w:r>
        <w:rPr>
          <w:rFonts w:asciiTheme="minorHAnsi" w:hAnsiTheme="minorHAnsi"/>
        </w:rPr>
        <w:t xml:space="preserve">. 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Najveći udio u nefinancijskoj imovini odnosi se na pohranjene vrijednosti .</w:t>
      </w: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Knjižnica ne radi ispravak vrijednosti knjižne građe, stoga se povećanje imovine najviše odnosi na nabavu knjiga putem kupnje, odnosno dara i obveznog primjerka.</w:t>
      </w:r>
    </w:p>
    <w:p>
      <w:pPr>
        <w:pStyle w:val="7"/>
        <w:jc w:val="both"/>
        <w:rPr>
          <w:rFonts w:asciiTheme="minorHAnsi" w:hAnsiTheme="minorHAnsi"/>
          <w:highlight w:val="yellow"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Financijska imovina iznosi </w:t>
      </w:r>
      <w:r>
        <w:rPr>
          <w:rFonts w:hint="default" w:asciiTheme="minorHAnsi" w:hAnsiTheme="minorHAnsi"/>
          <w:lang w:val="hr-HR"/>
        </w:rPr>
        <w:t>95.916,67 €</w:t>
      </w:r>
      <w:r>
        <w:rPr>
          <w:rFonts w:asciiTheme="minorHAnsi" w:hAnsiTheme="minorHAnsi"/>
        </w:rPr>
        <w:t xml:space="preserve"> i to:</w:t>
      </w:r>
    </w:p>
    <w:p>
      <w:pPr>
        <w:pStyle w:val="7"/>
        <w:numPr>
          <w:ilvl w:val="0"/>
          <w:numId w:val="2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novac u banci i blagajni – </w:t>
      </w:r>
      <w:r>
        <w:rPr>
          <w:rFonts w:hint="default" w:asciiTheme="minorHAnsi" w:hAnsiTheme="minorHAnsi"/>
          <w:lang w:val="hr-HR"/>
        </w:rPr>
        <w:t>37.347,15 €</w:t>
      </w:r>
    </w:p>
    <w:p>
      <w:pPr>
        <w:pStyle w:val="7"/>
        <w:numPr>
          <w:ilvl w:val="0"/>
          <w:numId w:val="2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depoziti, potraživanja   –</w:t>
      </w:r>
      <w:r>
        <w:rPr>
          <w:rFonts w:hint="default" w:asciiTheme="minorHAnsi" w:hAnsiTheme="minorHAnsi"/>
          <w:lang w:val="hr-HR"/>
        </w:rPr>
        <w:t>3.779,95 €</w:t>
      </w:r>
    </w:p>
    <w:p>
      <w:pPr>
        <w:pStyle w:val="7"/>
        <w:numPr>
          <w:ilvl w:val="0"/>
          <w:numId w:val="2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potraživanja za prihode poslovanja – </w:t>
      </w:r>
      <w:r>
        <w:rPr>
          <w:rFonts w:hint="default" w:asciiTheme="minorHAnsi" w:hAnsiTheme="minorHAnsi"/>
          <w:lang w:val="hr-HR"/>
        </w:rPr>
        <w:t xml:space="preserve"> 398,56 €</w:t>
      </w:r>
    </w:p>
    <w:p>
      <w:pPr>
        <w:pStyle w:val="7"/>
        <w:numPr>
          <w:ilvl w:val="0"/>
          <w:numId w:val="2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rashodi budućeg razdoblja i nedospjela naplata prihoda – </w:t>
      </w:r>
      <w:r>
        <w:rPr>
          <w:rFonts w:hint="default" w:asciiTheme="minorHAnsi" w:hAnsiTheme="minorHAnsi"/>
          <w:lang w:val="hr-HR"/>
        </w:rPr>
        <w:t>54.391,01 €</w:t>
      </w:r>
    </w:p>
    <w:p>
      <w:pPr>
        <w:pStyle w:val="7"/>
        <w:tabs>
          <w:tab w:val="left" w:pos="1721"/>
        </w:tabs>
        <w:jc w:val="both"/>
        <w:rPr>
          <w:rFonts w:asciiTheme="minorHAnsi" w:hAnsiTheme="minorHAnsi"/>
        </w:rPr>
      </w:pPr>
    </w:p>
    <w:p>
      <w:pPr>
        <w:pStyle w:val="7"/>
        <w:tabs>
          <w:tab w:val="left" w:pos="172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Rashode budućeg razdoblja čine rashodi za plaću, prijevoz i naknadu za nezapošljavanje invalida za prosinac 202</w:t>
      </w:r>
      <w:r>
        <w:rPr>
          <w:rFonts w:hint="default" w:asciiTheme="minorHAnsi" w:hAnsiTheme="minorHAnsi"/>
          <w:lang w:val="hr-HR"/>
        </w:rPr>
        <w:t>3</w:t>
      </w:r>
      <w:r>
        <w:rPr>
          <w:rFonts w:asciiTheme="minorHAnsi" w:hAnsiTheme="minorHAnsi"/>
        </w:rPr>
        <w:t>.g.,koji će teretiti rashode 202</w:t>
      </w:r>
      <w:r>
        <w:rPr>
          <w:rFonts w:hint="default" w:asciiTheme="minorHAnsi" w:hAnsiTheme="minorHAnsi"/>
          <w:lang w:val="hr-HR"/>
        </w:rPr>
        <w:t>4</w:t>
      </w:r>
      <w:r>
        <w:rPr>
          <w:rFonts w:asciiTheme="minorHAnsi" w:hAnsiTheme="minorHAnsi"/>
        </w:rPr>
        <w:t>.g.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2  – Obveze i vlastiti izvori</w:t>
      </w:r>
    </w:p>
    <w:p>
      <w:pPr>
        <w:pStyle w:val="7"/>
        <w:jc w:val="both"/>
        <w:rPr>
          <w:rFonts w:asciiTheme="minorHAnsi" w:hAnsiTheme="minorHAnsi"/>
          <w:b/>
          <w:highlight w:val="yellow"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Obveze i vlastiti izvori  iznose </w:t>
      </w:r>
      <w:r>
        <w:rPr>
          <w:rFonts w:hint="default" w:asciiTheme="minorHAnsi" w:hAnsiTheme="minorHAnsi"/>
          <w:lang w:val="hr-HR"/>
        </w:rPr>
        <w:t>5.718049,64 €</w:t>
      </w:r>
      <w:r>
        <w:rPr>
          <w:rFonts w:asciiTheme="minorHAnsi" w:hAnsiTheme="minorHAnsi"/>
        </w:rPr>
        <w:t xml:space="preserve"> i u usporedbi sa 202</w:t>
      </w:r>
      <w:r>
        <w:rPr>
          <w:rFonts w:hint="default" w:asciiTheme="minorHAnsi" w:hAnsiTheme="minorHAnsi"/>
          <w:lang w:val="hr-HR"/>
        </w:rPr>
        <w:t>2</w:t>
      </w:r>
      <w:r>
        <w:rPr>
          <w:rFonts w:asciiTheme="minorHAnsi" w:hAnsiTheme="minorHAnsi"/>
        </w:rPr>
        <w:t xml:space="preserve">. godinom veći su za </w:t>
      </w:r>
      <w:r>
        <w:rPr>
          <w:rFonts w:hint="default" w:asciiTheme="minorHAnsi" w:hAnsiTheme="minorHAnsi"/>
          <w:lang w:val="hr-HR"/>
        </w:rPr>
        <w:t>7</w:t>
      </w:r>
      <w:r>
        <w:rPr>
          <w:rFonts w:asciiTheme="minorHAnsi" w:hAnsiTheme="minorHAnsi"/>
        </w:rPr>
        <w:t xml:space="preserve">%. Obveze iznose </w:t>
      </w:r>
      <w:r>
        <w:rPr>
          <w:rFonts w:hint="default" w:asciiTheme="minorHAnsi" w:hAnsiTheme="minorHAnsi"/>
          <w:lang w:val="hr-HR"/>
        </w:rPr>
        <w:t>75.123,04 €</w:t>
      </w:r>
      <w:r>
        <w:rPr>
          <w:rFonts w:asciiTheme="minorHAnsi" w:hAnsiTheme="minorHAnsi"/>
        </w:rPr>
        <w:t xml:space="preserve">, a vlastiti izvori </w:t>
      </w:r>
      <w:r>
        <w:rPr>
          <w:rFonts w:hint="default" w:asciiTheme="minorHAnsi" w:hAnsiTheme="minorHAnsi"/>
          <w:lang w:val="hr-HR"/>
        </w:rPr>
        <w:t>5.642.926,60 €.</w:t>
      </w:r>
      <w:r>
        <w:rPr>
          <w:rFonts w:asciiTheme="minorHAnsi" w:hAnsiTheme="minorHAnsi"/>
        </w:rPr>
        <w:t xml:space="preserve"> </w:t>
      </w: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 ukupnih obveza najveći udio odnosi se na:</w:t>
      </w:r>
    </w:p>
    <w:p>
      <w:pPr>
        <w:pStyle w:val="7"/>
        <w:numPr>
          <w:ilvl w:val="0"/>
          <w:numId w:val="3"/>
        </w:numPr>
        <w:tabs>
          <w:tab w:val="left" w:pos="170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Obveze za rashode poslovanja  iznose </w:t>
      </w:r>
      <w:r>
        <w:rPr>
          <w:rFonts w:hint="default" w:asciiTheme="minorHAnsi" w:hAnsiTheme="minorHAnsi"/>
          <w:lang w:val="hr-HR"/>
        </w:rPr>
        <w:t>74.702,40 €</w:t>
      </w:r>
      <w:r>
        <w:rPr>
          <w:rFonts w:asciiTheme="minorHAnsi" w:hAnsiTheme="minorHAnsi"/>
        </w:rPr>
        <w:t xml:space="preserve"> od kojih se  najveći dio odnosi na obveze za zaposlene , koji se odnose na plaću za prosinac 202</w:t>
      </w:r>
      <w:r>
        <w:rPr>
          <w:rFonts w:hint="default" w:asciiTheme="minorHAnsi" w:hAnsiTheme="minorHAnsi"/>
          <w:lang w:val="hr-HR"/>
        </w:rPr>
        <w:t>3</w:t>
      </w:r>
      <w:r>
        <w:rPr>
          <w:rFonts w:asciiTheme="minorHAnsi" w:hAnsiTheme="minorHAnsi"/>
        </w:rPr>
        <w:t>. godine koja će biti isplaćena u siječnju 202</w:t>
      </w:r>
      <w:r>
        <w:rPr>
          <w:rFonts w:hint="default" w:asciiTheme="minorHAnsi" w:hAnsiTheme="minorHAnsi"/>
          <w:lang w:val="hr-HR"/>
        </w:rPr>
        <w:t>4</w:t>
      </w:r>
      <w:r>
        <w:rPr>
          <w:rFonts w:asciiTheme="minorHAnsi" w:hAnsiTheme="minorHAnsi"/>
        </w:rPr>
        <w:t>.g.</w:t>
      </w:r>
    </w:p>
    <w:p>
      <w:pPr>
        <w:pStyle w:val="7"/>
        <w:numPr>
          <w:ilvl w:val="0"/>
          <w:numId w:val="3"/>
        </w:numPr>
        <w:tabs>
          <w:tab w:val="left" w:pos="170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>
      <w:pPr>
        <w:pStyle w:val="7"/>
        <w:tabs>
          <w:tab w:val="left" w:pos="1781"/>
        </w:tabs>
        <w:jc w:val="both"/>
        <w:rPr>
          <w:rFonts w:asciiTheme="minorHAnsi" w:hAnsiTheme="minorHAnsi"/>
        </w:rPr>
      </w:pPr>
    </w:p>
    <w:p>
      <w:pPr>
        <w:pStyle w:val="7"/>
        <w:tabs>
          <w:tab w:val="left" w:pos="178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Višak prihoda poslovanja  iznosi </w:t>
      </w:r>
      <w:r>
        <w:rPr>
          <w:rFonts w:hint="default" w:asciiTheme="minorHAnsi" w:hAnsiTheme="minorHAnsi"/>
          <w:lang w:val="hr-HR"/>
        </w:rPr>
        <w:t>30.287,94 €</w:t>
      </w:r>
      <w:r>
        <w:rPr>
          <w:rFonts w:asciiTheme="minorHAnsi" w:hAnsiTheme="minorHAnsi"/>
        </w:rPr>
        <w:t xml:space="preserve"> . Koristiti će se za pokrivanje dijela troškova u 202</w:t>
      </w:r>
      <w:r>
        <w:rPr>
          <w:rFonts w:hint="default" w:asciiTheme="minorHAnsi" w:hAnsiTheme="minorHAnsi"/>
          <w:lang w:val="hr-HR"/>
        </w:rPr>
        <w:t>4</w:t>
      </w:r>
      <w:r>
        <w:rPr>
          <w:rFonts w:asciiTheme="minorHAnsi" w:hAnsiTheme="minorHAnsi"/>
        </w:rPr>
        <w:t>.g.  To je rezultat nakon provedene korekcije rezultata zbog kapitalnih prijenosa sredstava kojima su financirane nabave nefinancijske imovine.</w:t>
      </w:r>
    </w:p>
    <w:p>
      <w:pPr>
        <w:pStyle w:val="7"/>
        <w:tabs>
          <w:tab w:val="left" w:pos="1781"/>
        </w:tabs>
        <w:jc w:val="both"/>
        <w:rPr>
          <w:rFonts w:asciiTheme="minorHAnsi" w:hAnsiTheme="minorHAnsi"/>
        </w:rPr>
      </w:pPr>
    </w:p>
    <w:p>
      <w:pPr>
        <w:pStyle w:val="7"/>
        <w:tabs>
          <w:tab w:val="left" w:pos="1781"/>
        </w:tabs>
        <w:jc w:val="both"/>
        <w:rPr>
          <w:rFonts w:asciiTheme="minorHAnsi" w:hAnsiTheme="minorHAnsi"/>
        </w:rPr>
      </w:pPr>
    </w:p>
    <w:p>
      <w:pPr>
        <w:pStyle w:val="7"/>
        <w:tabs>
          <w:tab w:val="left" w:pos="1781"/>
        </w:tabs>
        <w:jc w:val="both"/>
        <w:rPr>
          <w:rFonts w:asciiTheme="minorHAnsi" w:hAnsiTheme="minorHAnsi"/>
        </w:rPr>
      </w:pPr>
    </w:p>
    <w:p>
      <w:pPr>
        <w:pStyle w:val="7"/>
        <w:tabs>
          <w:tab w:val="left" w:pos="1781"/>
        </w:tabs>
        <w:jc w:val="both"/>
        <w:rPr>
          <w:rFonts w:asciiTheme="minorHAnsi" w:hAnsiTheme="minorHAnsi"/>
        </w:rPr>
      </w:pPr>
    </w:p>
    <w:p>
      <w:pPr>
        <w:pStyle w:val="7"/>
        <w:tabs>
          <w:tab w:val="left" w:pos="1781"/>
        </w:tabs>
        <w:jc w:val="both"/>
        <w:rPr>
          <w:rFonts w:asciiTheme="minorHAnsi" w:hAnsiTheme="minorHAnsi"/>
        </w:rPr>
      </w:pPr>
    </w:p>
    <w:p>
      <w:pPr>
        <w:pStyle w:val="7"/>
        <w:tabs>
          <w:tab w:val="left" w:pos="1781"/>
        </w:tabs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 xml:space="preserve"> BILJEŠKE UZ PR-RAS</w:t>
      </w: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1 – Prihodi poslovanja </w:t>
      </w: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Prihodi poslovanja ostvareni su u iznosu od </w:t>
      </w:r>
      <w:r>
        <w:rPr>
          <w:rFonts w:hint="default" w:asciiTheme="minorHAnsi" w:hAnsiTheme="minorHAnsi"/>
          <w:lang w:val="hr-HR"/>
        </w:rPr>
        <w:t>939.253,51 €</w:t>
      </w:r>
      <w:r>
        <w:rPr>
          <w:rFonts w:asciiTheme="minorHAnsi" w:hAnsiTheme="minorHAnsi"/>
        </w:rPr>
        <w:t xml:space="preserve"> što je  više za  </w:t>
      </w:r>
      <w:r>
        <w:rPr>
          <w:rFonts w:hint="default" w:asciiTheme="minorHAnsi" w:hAnsiTheme="minorHAnsi"/>
          <w:lang w:val="hr-HR"/>
        </w:rPr>
        <w:t>25</w:t>
      </w:r>
      <w:r>
        <w:rPr>
          <w:rFonts w:asciiTheme="minorHAnsi" w:hAnsiTheme="minorHAnsi"/>
        </w:rPr>
        <w:t>,</w:t>
      </w:r>
      <w:r>
        <w:rPr>
          <w:rFonts w:hint="default" w:asciiTheme="minorHAnsi" w:hAnsiTheme="minorHAnsi"/>
          <w:lang w:val="hr-HR"/>
        </w:rPr>
        <w:t>5</w:t>
      </w:r>
      <w:r>
        <w:rPr>
          <w:rFonts w:asciiTheme="minorHAnsi" w:hAnsiTheme="minorHAnsi"/>
        </w:rPr>
        <w:t>%  od ostvarenih u 202</w:t>
      </w:r>
      <w:r>
        <w:rPr>
          <w:rFonts w:hint="default" w:asciiTheme="minorHAnsi" w:hAnsiTheme="minorHAnsi"/>
          <w:lang w:val="hr-HR"/>
        </w:rPr>
        <w:t>2</w:t>
      </w:r>
      <w:r>
        <w:rPr>
          <w:rFonts w:asciiTheme="minorHAnsi" w:hAnsiTheme="minorHAnsi"/>
        </w:rPr>
        <w:t xml:space="preserve">. godini. 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Najveći udio u prihodima čine:</w:t>
      </w:r>
    </w:p>
    <w:p>
      <w:pPr>
        <w:pStyle w:val="7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Prihodi iz proračuna  u iznosu od </w:t>
      </w:r>
      <w:r>
        <w:rPr>
          <w:rFonts w:hint="default" w:asciiTheme="minorHAnsi" w:hAnsiTheme="minorHAnsi"/>
          <w:lang w:val="hr-HR"/>
        </w:rPr>
        <w:t>641.891,64 €</w:t>
      </w:r>
    </w:p>
    <w:p>
      <w:pPr>
        <w:pStyle w:val="7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Prijenosi između proračunskih korisnika istog proračuna  iznose </w:t>
      </w:r>
      <w:r>
        <w:rPr>
          <w:rFonts w:hint="default" w:asciiTheme="minorHAnsi" w:hAnsiTheme="minorHAnsi"/>
          <w:lang w:val="hr-HR"/>
        </w:rPr>
        <w:t>213.713,32 €</w:t>
      </w:r>
    </w:p>
    <w:p>
      <w:pPr>
        <w:pStyle w:val="7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Prihodi od prodanih proizvoda i pruženih usluga koji iznose </w:t>
      </w:r>
      <w:r>
        <w:rPr>
          <w:rFonts w:hint="default" w:asciiTheme="minorHAnsi" w:hAnsiTheme="minorHAnsi"/>
          <w:lang w:val="hr-HR"/>
        </w:rPr>
        <w:t>75.594,25 €</w:t>
      </w:r>
    </w:p>
    <w:p>
      <w:pPr>
        <w:pStyle w:val="7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Donacije knjiga iznose </w:t>
      </w:r>
      <w:r>
        <w:rPr>
          <w:rFonts w:hint="default" w:asciiTheme="minorHAnsi" w:hAnsiTheme="minorHAnsi"/>
          <w:lang w:val="hr-HR"/>
        </w:rPr>
        <w:t>13.304,87 €</w:t>
      </w:r>
      <w:r>
        <w:rPr>
          <w:rFonts w:asciiTheme="minorHAnsi" w:hAnsiTheme="minorHAnsi"/>
        </w:rPr>
        <w:t xml:space="preserve"> 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Sveučilišna knjižnica je u 202</w:t>
      </w:r>
      <w:r>
        <w:rPr>
          <w:rFonts w:hint="default" w:asciiTheme="minorHAnsi" w:hAnsiTheme="minorHAnsi"/>
          <w:lang w:val="hr-HR"/>
        </w:rPr>
        <w:t>3</w:t>
      </w:r>
      <w:r>
        <w:rPr>
          <w:rFonts w:asciiTheme="minorHAnsi" w:hAnsiTheme="minorHAnsi"/>
        </w:rPr>
        <w:t>. g. održala program cjeloživotnog učenja za istraživače. Od ostalih prihoda ostvarene su tekuće pomoći iz županijskog i gradskog proračuna za sufinanciranje projekta Produženi rad knjižnice.</w:t>
      </w: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Sklopljen je Ugovor o korištenju sredstava Ministarstva kulture za  jednog djelatnika koji će obavljati poslove matičara.</w:t>
      </w: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Sveučilište u Rijeci pokriva troškove izrade e-izdanja koje obavlja Centar za elektroničko nakladništvo pri Sveučilišnoj knjižnici i sufinancira unapređenje studentskog standarda u domeni učenja i poučavanja.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2 –  Rashodi poslovanja</w:t>
      </w: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Ostvareni rashodi poslovanja iznose</w:t>
      </w:r>
      <w:r>
        <w:rPr>
          <w:rFonts w:hint="default" w:asciiTheme="minorHAnsi" w:hAnsiTheme="minorHAnsi"/>
          <w:lang w:val="hr-HR"/>
        </w:rPr>
        <w:t xml:space="preserve"> 832.509,90 €</w:t>
      </w:r>
      <w:r>
        <w:rPr>
          <w:rFonts w:asciiTheme="minorHAnsi" w:hAnsiTheme="minorHAnsi"/>
        </w:rPr>
        <w:t xml:space="preserve"> 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Najveći udio rashoda čine:</w:t>
      </w:r>
    </w:p>
    <w:p>
      <w:pPr>
        <w:pStyle w:val="7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Rashodi za zaposlene , iznose </w:t>
      </w:r>
      <w:r>
        <w:rPr>
          <w:rFonts w:hint="default" w:asciiTheme="minorHAnsi" w:hAnsiTheme="minorHAnsi"/>
          <w:lang w:val="hr-HR"/>
        </w:rPr>
        <w:t>628.234,98 €</w:t>
      </w:r>
      <w:r>
        <w:rPr>
          <w:rFonts w:asciiTheme="minorHAnsi" w:hAnsiTheme="minorHAnsi"/>
        </w:rPr>
        <w:t xml:space="preserve"> </w:t>
      </w:r>
    </w:p>
    <w:p>
      <w:pPr>
        <w:pStyle w:val="7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Materijalni rashodi , iznose </w:t>
      </w:r>
      <w:r>
        <w:rPr>
          <w:rFonts w:hint="default" w:asciiTheme="minorHAnsi" w:hAnsiTheme="minorHAnsi"/>
          <w:lang w:val="hr-HR"/>
        </w:rPr>
        <w:t>203.096,88 €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Najveći trošak u materijalnim rashodima su naknade za prijevoz, usluge tekućeg i investicijskog održavanja, troškovi energije i komunalnih usluga.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3 –  Višak prihoda poslovanja </w:t>
      </w: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Ostvareni višak prihoda poslovanja iznosi </w:t>
      </w:r>
      <w:r>
        <w:rPr>
          <w:rFonts w:hint="default" w:asciiTheme="minorHAnsi" w:hAnsiTheme="minorHAnsi"/>
          <w:lang w:val="hr-HR"/>
        </w:rPr>
        <w:t>106.743,61 €</w:t>
      </w:r>
      <w:r>
        <w:rPr>
          <w:rFonts w:asciiTheme="minorHAnsi" w:hAnsiTheme="minorHAnsi"/>
        </w:rPr>
        <w:t>. Ostvareni višak prihoda poslovanja najvećim dijelom iskoristit će se za pokrivanje manjka od nefinancijske imovine, odnosno troškova budućeg razdoblja.</w:t>
      </w: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4 –  Rashodi za nabavu nefinancijske imovine </w:t>
      </w: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hint="default" w:asciiTheme="minorHAnsi" w:hAnsiTheme="minorHAnsi"/>
          <w:lang w:val="hr-HR"/>
        </w:rPr>
      </w:pPr>
      <w:r>
        <w:rPr>
          <w:rFonts w:asciiTheme="minorHAnsi" w:hAnsiTheme="minorHAnsi"/>
        </w:rPr>
        <w:t xml:space="preserve">Rashodi za nabavu nefinancijske imovine ostvareni su u iznosu od </w:t>
      </w:r>
      <w:r>
        <w:rPr>
          <w:rFonts w:hint="default" w:asciiTheme="minorHAnsi" w:hAnsiTheme="minorHAnsi"/>
          <w:lang w:val="hr-HR"/>
        </w:rPr>
        <w:t>84.605,74 €</w:t>
      </w:r>
      <w:r>
        <w:rPr>
          <w:rFonts w:asciiTheme="minorHAnsi" w:hAnsiTheme="minorHAnsi"/>
        </w:rPr>
        <w:t xml:space="preserve">. Rashodi se najvećim djelom odnose na nabavu novih knjiga u iznosu od </w:t>
      </w:r>
      <w:r>
        <w:rPr>
          <w:rFonts w:hint="default" w:asciiTheme="minorHAnsi" w:hAnsiTheme="minorHAnsi"/>
          <w:lang w:val="hr-HR"/>
        </w:rPr>
        <w:t>35.761,20 €</w:t>
      </w:r>
      <w:r>
        <w:rPr>
          <w:rFonts w:asciiTheme="minorHAnsi" w:hAnsiTheme="minorHAnsi"/>
        </w:rPr>
        <w:t xml:space="preserve"> i nabavu uredskog namještaja i opreme, te komunikacijske i opreme za održavanje i zaštitu u iznosu </w:t>
      </w:r>
      <w:r>
        <w:rPr>
          <w:rFonts w:hint="default" w:asciiTheme="minorHAnsi" w:hAnsiTheme="minorHAnsi"/>
          <w:lang w:val="hr-HR"/>
        </w:rPr>
        <w:t>16.882,55 €.</w:t>
      </w:r>
    </w:p>
    <w:p>
      <w:pPr>
        <w:pStyle w:val="7"/>
        <w:jc w:val="both"/>
        <w:rPr>
          <w:rFonts w:hint="default" w:asciiTheme="minorHAnsi" w:hAnsiTheme="minorHAnsi"/>
          <w:lang w:val="hr-HR"/>
        </w:rPr>
      </w:pPr>
      <w:r>
        <w:rPr>
          <w:rFonts w:asciiTheme="minorHAnsi" w:hAnsiTheme="minorHAnsi"/>
        </w:rPr>
        <w:t xml:space="preserve">Uloženo je u zamjenu dotrajalih računala za potrebe studenata,  i  u servis kotlovnice u iznosu </w:t>
      </w:r>
      <w:r>
        <w:rPr>
          <w:rFonts w:hint="default" w:asciiTheme="minorHAnsi" w:hAnsiTheme="minorHAnsi"/>
          <w:lang w:val="hr-HR"/>
        </w:rPr>
        <w:t>25.263,23 €.</w:t>
      </w: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5 –  Manjak prihoda od nefinancijske imovine </w:t>
      </w: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Manjak prihoda od nefinancijske iznosi </w:t>
      </w:r>
      <w:r>
        <w:rPr>
          <w:rFonts w:hint="default" w:asciiTheme="minorHAnsi" w:hAnsiTheme="minorHAnsi"/>
          <w:lang w:val="hr-HR"/>
        </w:rPr>
        <w:t>83.325,74 €</w:t>
      </w:r>
      <w:r>
        <w:rPr>
          <w:rFonts w:asciiTheme="minorHAnsi" w:hAnsiTheme="minorHAnsi"/>
        </w:rPr>
        <w:t>. Manjak će se pokriti iz viška prihoda poslovanja i viška prenesenih prihoda iz 202</w:t>
      </w:r>
      <w:r>
        <w:rPr>
          <w:rFonts w:hint="default" w:asciiTheme="minorHAnsi" w:hAnsiTheme="minorHAnsi"/>
          <w:lang w:val="hr-HR"/>
        </w:rPr>
        <w:t>2</w:t>
      </w:r>
      <w:r>
        <w:rPr>
          <w:rFonts w:asciiTheme="minorHAnsi" w:hAnsiTheme="minorHAnsi"/>
        </w:rPr>
        <w:t>.g.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6 –  Ukupni prihodi i primici</w:t>
      </w: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Ukupni prihodi i primici ostvareni su u iznosu od </w:t>
      </w:r>
      <w:r>
        <w:rPr>
          <w:rFonts w:hint="default" w:asciiTheme="minorHAnsi" w:hAnsiTheme="minorHAnsi"/>
          <w:lang w:val="hr-HR"/>
        </w:rPr>
        <w:t>940.533,51 €</w:t>
      </w:r>
      <w:r>
        <w:rPr>
          <w:rFonts w:asciiTheme="minorHAnsi" w:hAnsiTheme="minorHAnsi"/>
        </w:rPr>
        <w:t xml:space="preserve"> i veći su u odnosu na 202</w:t>
      </w:r>
      <w:r>
        <w:rPr>
          <w:rFonts w:hint="default" w:asciiTheme="minorHAnsi" w:hAnsiTheme="minorHAnsi"/>
          <w:lang w:val="hr-HR"/>
        </w:rPr>
        <w:t>2</w:t>
      </w:r>
      <w:r>
        <w:rPr>
          <w:rFonts w:asciiTheme="minorHAnsi" w:hAnsiTheme="minorHAnsi"/>
        </w:rPr>
        <w:t xml:space="preserve">. godinu za </w:t>
      </w:r>
      <w:r>
        <w:rPr>
          <w:rFonts w:hint="default" w:asciiTheme="minorHAnsi" w:hAnsiTheme="minorHAnsi"/>
          <w:lang w:val="hr-HR"/>
        </w:rPr>
        <w:t>25,7</w:t>
      </w:r>
      <w:r>
        <w:rPr>
          <w:rFonts w:asciiTheme="minorHAnsi" w:hAnsiTheme="minorHAnsi"/>
        </w:rPr>
        <w:t>%.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7 –  Ukupni rashodi i izdaci </w:t>
      </w: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Ukupni rashodi i izdaci iznose </w:t>
      </w:r>
      <w:r>
        <w:rPr>
          <w:rFonts w:hint="default" w:asciiTheme="minorHAnsi" w:hAnsiTheme="minorHAnsi"/>
          <w:lang w:val="hr-HR"/>
        </w:rPr>
        <w:t>917.115,64 €</w:t>
      </w:r>
      <w:r>
        <w:rPr>
          <w:rFonts w:asciiTheme="minorHAnsi" w:hAnsiTheme="minorHAnsi"/>
        </w:rPr>
        <w:t xml:space="preserve"> 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8 – </w:t>
      </w:r>
      <w:r>
        <w:rPr>
          <w:rFonts w:hint="default" w:asciiTheme="minorHAnsi" w:hAnsiTheme="minorHAnsi"/>
          <w:b/>
          <w:lang w:val="hr-HR"/>
        </w:rPr>
        <w:t>Višak</w:t>
      </w:r>
      <w:r>
        <w:rPr>
          <w:rFonts w:asciiTheme="minorHAnsi" w:hAnsiTheme="minorHAnsi"/>
          <w:b/>
        </w:rPr>
        <w:t xml:space="preserve"> prihoda i primitaka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hint="default" w:asciiTheme="minorHAnsi" w:hAnsiTheme="minorHAnsi"/>
          <w:lang w:val="hr-HR"/>
        </w:rPr>
        <w:t>Višak</w:t>
      </w:r>
      <w:r>
        <w:rPr>
          <w:rFonts w:asciiTheme="minorHAnsi" w:hAnsiTheme="minorHAnsi"/>
        </w:rPr>
        <w:t xml:space="preserve"> prihoda i primitaka u 202</w:t>
      </w:r>
      <w:r>
        <w:rPr>
          <w:rFonts w:hint="default" w:asciiTheme="minorHAnsi" w:hAnsiTheme="minorHAnsi"/>
          <w:lang w:val="hr-HR"/>
        </w:rPr>
        <w:t>3</w:t>
      </w:r>
      <w:r>
        <w:rPr>
          <w:rFonts w:asciiTheme="minorHAnsi" w:hAnsiTheme="minorHAnsi"/>
        </w:rPr>
        <w:t xml:space="preserve">. godini iznosi </w:t>
      </w:r>
      <w:r>
        <w:rPr>
          <w:rFonts w:hint="default" w:asciiTheme="minorHAnsi" w:hAnsiTheme="minorHAnsi"/>
          <w:lang w:val="hr-HR"/>
        </w:rPr>
        <w:t>23.417,87 €.</w:t>
      </w:r>
      <w:r>
        <w:rPr>
          <w:rFonts w:asciiTheme="minorHAnsi" w:hAnsiTheme="minorHAnsi"/>
        </w:rPr>
        <w:t xml:space="preserve"> 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9 –  Višak prihoda preneseni</w:t>
      </w: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Višak prihoda preneseni je umanjen za ispravke knjiženja  iz prethodnih razdoblja koja zahtijevaju promjenu računa rezultata – manjka prihoda rezultata.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10 –  Višak prihoda i primitaka raspoloživ u sljedećem razdoblju </w:t>
      </w: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Ostvareni višak prihoda raspoloživ u sljedećem razdoblju iznosi </w:t>
      </w:r>
      <w:r>
        <w:rPr>
          <w:rFonts w:hint="default" w:asciiTheme="minorHAnsi" w:hAnsiTheme="minorHAnsi"/>
          <w:lang w:val="hr-HR"/>
        </w:rPr>
        <w:t>30.287,94 €</w:t>
      </w:r>
      <w:r>
        <w:rPr>
          <w:rFonts w:asciiTheme="minorHAnsi" w:hAnsiTheme="minorHAnsi"/>
        </w:rPr>
        <w:t>. Ostvareni višak prihoda i primitaka utrošit će se u 202</w:t>
      </w:r>
      <w:r>
        <w:rPr>
          <w:rFonts w:hint="default" w:asciiTheme="minorHAnsi" w:hAnsiTheme="minorHAnsi"/>
          <w:lang w:val="hr-HR"/>
        </w:rPr>
        <w:t>4</w:t>
      </w:r>
      <w:r>
        <w:rPr>
          <w:rFonts w:asciiTheme="minorHAnsi" w:hAnsiTheme="minorHAnsi"/>
        </w:rPr>
        <w:t>. godini.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  <w:b/>
          <w:u w:val="single"/>
        </w:rPr>
      </w:pPr>
    </w:p>
    <w:p>
      <w:pPr>
        <w:pStyle w:val="7"/>
        <w:jc w:val="both"/>
        <w:rPr>
          <w:rFonts w:asciiTheme="minorHAnsi" w:hAnsiTheme="minorHAnsi"/>
          <w:b/>
          <w:u w:val="single"/>
        </w:rPr>
      </w:pPr>
    </w:p>
    <w:p>
      <w:pPr>
        <w:pStyle w:val="7"/>
        <w:jc w:val="both"/>
        <w:rPr>
          <w:rFonts w:asciiTheme="minorHAnsi" w:hAnsiTheme="minorHAnsi"/>
          <w:b/>
          <w:u w:val="single"/>
        </w:rPr>
      </w:pPr>
    </w:p>
    <w:p>
      <w:pPr>
        <w:pStyle w:val="7"/>
        <w:jc w:val="both"/>
        <w:rPr>
          <w:rFonts w:asciiTheme="minorHAnsi" w:hAnsiTheme="minorHAnsi"/>
          <w:b/>
          <w:u w:val="single"/>
        </w:rPr>
      </w:pPr>
    </w:p>
    <w:p>
      <w:pPr>
        <w:pStyle w:val="7"/>
        <w:jc w:val="both"/>
        <w:rPr>
          <w:rFonts w:asciiTheme="minorHAnsi" w:hAnsiTheme="minorHAnsi"/>
          <w:b/>
          <w:u w:val="single"/>
        </w:rPr>
      </w:pPr>
    </w:p>
    <w:p>
      <w:pPr>
        <w:pStyle w:val="7"/>
        <w:jc w:val="both"/>
        <w:rPr>
          <w:rFonts w:asciiTheme="minorHAnsi" w:hAnsiTheme="minorHAnsi"/>
          <w:b/>
          <w:u w:val="single"/>
        </w:rPr>
      </w:pPr>
    </w:p>
    <w:p>
      <w:pPr>
        <w:pStyle w:val="7"/>
        <w:jc w:val="both"/>
        <w:rPr>
          <w:rFonts w:asciiTheme="minorHAnsi" w:hAnsiTheme="minorHAnsi"/>
          <w:b/>
          <w:u w:val="single"/>
        </w:rPr>
      </w:pPr>
    </w:p>
    <w:p>
      <w:pPr>
        <w:pStyle w:val="7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 BILJEŠKE UZ P-VRIO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Promjena u povećanju u obujmu imovine  se odnosi na nabavu knjiga i časopisa putem kupnje, dara od proračunskih i neproračunskih korisnika te obveznog primjerka.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  <w:b/>
        </w:rPr>
      </w:pPr>
    </w:p>
    <w:p>
      <w:pPr>
        <w:pStyle w:val="7"/>
        <w:jc w:val="both"/>
        <w:rPr>
          <w:rFonts w:asciiTheme="minorHAnsi" w:hAnsiTheme="minorHAnsi"/>
          <w:b/>
          <w:u w:val="single"/>
        </w:rPr>
      </w:pPr>
    </w:p>
    <w:p>
      <w:pPr>
        <w:pStyle w:val="7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 BILJEŠKE UZ RAS - funkcijski</w:t>
      </w:r>
    </w:p>
    <w:p>
      <w:pPr>
        <w:pStyle w:val="7"/>
        <w:jc w:val="both"/>
        <w:rPr>
          <w:rFonts w:asciiTheme="minorHAnsi" w:hAnsiTheme="minorHAnsi"/>
          <w:b/>
          <w:u w:val="single"/>
        </w:rPr>
      </w:pPr>
    </w:p>
    <w:p>
      <w:pPr>
        <w:pStyle w:val="7"/>
        <w:jc w:val="both"/>
        <w:rPr>
          <w:rFonts w:hint="default" w:asciiTheme="minorHAnsi" w:hAnsiTheme="minorHAnsi"/>
          <w:lang w:val="hr-HR"/>
        </w:rPr>
      </w:pPr>
      <w:r>
        <w:rPr>
          <w:rFonts w:asciiTheme="minorHAnsi" w:hAnsiTheme="minorHAnsi"/>
        </w:rPr>
        <w:t>U 202</w:t>
      </w:r>
      <w:r>
        <w:rPr>
          <w:rFonts w:hint="default" w:asciiTheme="minorHAnsi" w:hAnsiTheme="minorHAnsi"/>
          <w:lang w:val="hr-HR"/>
        </w:rPr>
        <w:t>3</w:t>
      </w:r>
      <w:r>
        <w:rPr>
          <w:rFonts w:asciiTheme="minorHAnsi" w:hAnsiTheme="minorHAnsi"/>
        </w:rPr>
        <w:t xml:space="preserve">. godini Sveučilišna knjižnica prema funkcijskoj klasifikaciji svoje troškove evidentirala je u funkciji ''Rashodi za rekreaciju, kulturu i religiju koji nisu drugdje svrstani'', u ukupnom iznosu </w:t>
      </w:r>
      <w:r>
        <w:rPr>
          <w:rFonts w:hint="default" w:asciiTheme="minorHAnsi" w:hAnsiTheme="minorHAnsi"/>
          <w:lang w:val="hr-HR"/>
        </w:rPr>
        <w:t>917.115,64 €.</w:t>
      </w: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</w:p>
    <w:p>
      <w:pPr>
        <w:pStyle w:val="7"/>
        <w:jc w:val="both"/>
        <w:rPr>
          <w:rFonts w:asciiTheme="minorHAnsi" w:hAnsiTheme="minorHAnsi"/>
        </w:rPr>
      </w:pPr>
    </w:p>
    <w:p>
      <w:pPr>
        <w:pStyle w:val="2"/>
        <w:rPr>
          <w:rFonts w:asciiTheme="minorHAnsi" w:hAnsiTheme="minorHAnsi"/>
        </w:rPr>
      </w:pPr>
      <w:r>
        <w:rPr>
          <w:rFonts w:asciiTheme="minorHAnsi" w:hAnsiTheme="minorHAnsi"/>
        </w:rPr>
        <w:t>BILJEŠKE UZ OBVEZE</w:t>
      </w:r>
    </w:p>
    <w:p/>
    <w:p>
      <w:pPr>
        <w:rPr>
          <w:rFonts w:hint="default"/>
          <w:sz w:val="18"/>
          <w:szCs w:val="18"/>
          <w:lang w:val="hr-HR"/>
        </w:rPr>
      </w:pPr>
      <w:r>
        <w:rPr>
          <w:sz w:val="18"/>
          <w:szCs w:val="18"/>
        </w:rPr>
        <w:t>Stanje obveza na 31.12.202</w:t>
      </w:r>
      <w:r>
        <w:rPr>
          <w:rFonts w:hint="default"/>
          <w:sz w:val="18"/>
          <w:szCs w:val="18"/>
          <w:lang w:val="hr-HR"/>
        </w:rPr>
        <w:t>3</w:t>
      </w:r>
      <w:r>
        <w:rPr>
          <w:sz w:val="18"/>
          <w:szCs w:val="18"/>
        </w:rPr>
        <w:t xml:space="preserve">. iznosi </w:t>
      </w:r>
      <w:r>
        <w:rPr>
          <w:rFonts w:hint="default"/>
          <w:sz w:val="18"/>
          <w:szCs w:val="18"/>
          <w:lang w:val="hr-HR"/>
        </w:rPr>
        <w:t>75.123,04 €.</w:t>
      </w:r>
    </w:p>
    <w:p>
      <w:pPr>
        <w:rPr>
          <w:sz w:val="18"/>
          <w:szCs w:val="18"/>
        </w:rPr>
      </w:pPr>
    </w:p>
    <w:p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Stanje nedospjelih obveza iznosi </w:t>
      </w:r>
      <w:r>
        <w:rPr>
          <w:rFonts w:hint="default" w:asciiTheme="minorHAnsi" w:hAnsiTheme="minorHAnsi"/>
          <w:sz w:val="22"/>
          <w:lang w:val="hr-HR"/>
        </w:rPr>
        <w:t>75.123,04 €.</w:t>
      </w:r>
      <w:r>
        <w:rPr>
          <w:rFonts w:asciiTheme="minorHAnsi" w:hAnsiTheme="minorHAnsi"/>
          <w:sz w:val="22"/>
        </w:rPr>
        <w:t xml:space="preserve"> </w:t>
      </w:r>
    </w:p>
    <w:p>
      <w:pPr>
        <w:jc w:val="both"/>
        <w:rPr>
          <w:rFonts w:asciiTheme="minorHAnsi" w:hAnsiTheme="minorHAnsi"/>
          <w:sz w:val="22"/>
        </w:rPr>
      </w:pPr>
    </w:p>
    <w:p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Nedospjele obveze odnose se na </w:t>
      </w:r>
    </w:p>
    <w:p>
      <w:pPr>
        <w:pStyle w:val="13"/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obveze za rashode poslovanja </w:t>
      </w:r>
    </w:p>
    <w:p>
      <w:pPr>
        <w:pStyle w:val="13"/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obveze za zaposlene (rok dospijeća siječanj 202</w:t>
      </w:r>
      <w:r>
        <w:rPr>
          <w:rFonts w:hint="default" w:asciiTheme="minorHAnsi" w:hAnsiTheme="minorHAnsi"/>
          <w:sz w:val="22"/>
          <w:lang w:val="hr-HR"/>
        </w:rPr>
        <w:t>4</w:t>
      </w:r>
      <w:r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hint="default" w:asciiTheme="minorHAnsi" w:hAnsiTheme="minorHAnsi"/>
          <w:sz w:val="22"/>
          <w:lang w:val="hr-HR"/>
        </w:rPr>
        <w:t>74.702,40 €</w:t>
      </w:r>
    </w:p>
    <w:p>
      <w:pPr>
        <w:pStyle w:val="13"/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obveze za </w:t>
      </w:r>
      <w:r>
        <w:rPr>
          <w:rFonts w:hint="default" w:asciiTheme="minorHAnsi" w:hAnsiTheme="minorHAnsi"/>
          <w:sz w:val="22"/>
          <w:lang w:val="hr-HR"/>
        </w:rPr>
        <w:t>nabavu nefinancijske imovine                                                                       420,64 €</w:t>
      </w:r>
    </w:p>
    <w:p>
      <w:pPr>
        <w:pStyle w:val="13"/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 </w:t>
      </w:r>
    </w:p>
    <w:p>
      <w:pPr>
        <w:rPr>
          <w:rFonts w:asciiTheme="minorHAnsi" w:hAnsiTheme="minorHAnsi"/>
          <w:sz w:val="22"/>
        </w:rPr>
      </w:pPr>
    </w:p>
    <w:p>
      <w:pPr>
        <w:rPr>
          <w:rFonts w:asciiTheme="minorHAnsi" w:hAnsiTheme="minorHAnsi"/>
          <w:sz w:val="22"/>
        </w:rPr>
      </w:pPr>
    </w:p>
    <w:p>
      <w:pPr>
        <w:rPr>
          <w:rFonts w:asciiTheme="minorHAnsi" w:hAnsiTheme="minorHAnsi"/>
          <w:sz w:val="22"/>
        </w:rPr>
      </w:pPr>
    </w:p>
    <w:p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 Rijeci, 2</w:t>
      </w:r>
      <w:r>
        <w:rPr>
          <w:rFonts w:hint="default" w:asciiTheme="minorHAnsi" w:hAnsiTheme="minorHAnsi"/>
          <w:sz w:val="22"/>
          <w:lang w:val="hr-HR"/>
        </w:rPr>
        <w:t>9</w:t>
      </w:r>
      <w:bookmarkStart w:id="0" w:name="_GoBack"/>
      <w:bookmarkEnd w:id="0"/>
      <w:r>
        <w:rPr>
          <w:rFonts w:asciiTheme="minorHAnsi" w:hAnsiTheme="minorHAnsi"/>
          <w:sz w:val="22"/>
        </w:rPr>
        <w:t>. siječnja 202</w:t>
      </w:r>
      <w:r>
        <w:rPr>
          <w:rFonts w:hint="default" w:asciiTheme="minorHAnsi" w:hAnsiTheme="minorHAnsi"/>
          <w:sz w:val="22"/>
          <w:lang w:val="hr-HR"/>
        </w:rPr>
        <w:t>4</w:t>
      </w:r>
      <w:r>
        <w:rPr>
          <w:rFonts w:asciiTheme="minorHAnsi" w:hAnsiTheme="minorHAnsi"/>
          <w:sz w:val="22"/>
        </w:rPr>
        <w:t>. godine</w:t>
      </w:r>
    </w:p>
    <w:p>
      <w:pPr>
        <w:rPr>
          <w:rFonts w:asciiTheme="minorHAnsi" w:hAnsiTheme="minorHAnsi"/>
          <w:sz w:val="22"/>
        </w:rPr>
      </w:pPr>
    </w:p>
    <w:p>
      <w:pPr>
        <w:rPr>
          <w:rFonts w:asciiTheme="minorHAnsi" w:hAnsiTheme="minorHAnsi"/>
          <w:sz w:val="22"/>
        </w:rPr>
      </w:pPr>
    </w:p>
    <w:p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Osoba za kontaktiranje: Tatjana Milosavljević</w:t>
      </w:r>
    </w:p>
    <w:p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Telefon: 099 389-1223</w:t>
      </w:r>
    </w:p>
    <w:p>
      <w:pPr>
        <w:rPr>
          <w:rFonts w:asciiTheme="minorHAnsi" w:hAnsiTheme="minorHAnsi"/>
          <w:sz w:val="22"/>
        </w:rPr>
      </w:pPr>
    </w:p>
    <w:p>
      <w:pPr>
        <w:rPr>
          <w:rFonts w:asciiTheme="minorHAnsi" w:hAnsiTheme="minorHAnsi"/>
          <w:sz w:val="22"/>
        </w:rPr>
      </w:pPr>
    </w:p>
    <w:p>
      <w:pPr>
        <w:rPr>
          <w:rFonts w:asciiTheme="minorHAnsi" w:hAnsiTheme="minorHAnsi"/>
          <w:sz w:val="22"/>
        </w:rPr>
      </w:pPr>
    </w:p>
    <w:p>
      <w:pPr>
        <w:ind w:left="720" w:firstLine="396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Zakonski predstavnik</w:t>
      </w:r>
    </w:p>
    <w:p>
      <w:pPr>
        <w:ind w:left="720" w:firstLine="396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 a v n a t e lj i c a:</w:t>
      </w:r>
    </w:p>
    <w:p>
      <w:pPr>
        <w:ind w:left="720" w:firstLine="3969"/>
        <w:rPr>
          <w:rFonts w:asciiTheme="minorHAnsi" w:hAnsiTheme="minorHAnsi"/>
          <w:sz w:val="22"/>
        </w:rPr>
      </w:pPr>
    </w:p>
    <w:p>
      <w:pPr>
        <w:ind w:left="720" w:firstLine="3969"/>
        <w:rPr>
          <w:rFonts w:asciiTheme="minorHAnsi" w:hAnsiTheme="minorHAnsi"/>
          <w:sz w:val="22"/>
        </w:rPr>
      </w:pPr>
    </w:p>
    <w:p>
      <w:pPr>
        <w:ind w:left="720" w:firstLine="396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Lea Lazzarich, knjiž.savjetnica</w:t>
      </w:r>
    </w:p>
    <w:sectPr>
      <w:footerReference r:id="rId3" w:type="default"/>
      <w:pgSz w:w="12240" w:h="15840"/>
      <w:pgMar w:top="1440" w:right="1800" w:bottom="81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</w:t>
    </w:r>
    <w:r>
      <w:rPr>
        <w:rStyle w:val="10"/>
      </w:rPr>
      <w:fldChar w:fldCharType="end"/>
    </w:r>
  </w:p>
  <w:p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B541A"/>
    <w:multiLevelType w:val="multilevel"/>
    <w:tmpl w:val="0B5B541A"/>
    <w:lvl w:ilvl="0" w:tentative="0">
      <w:start w:val="350"/>
      <w:numFmt w:val="none"/>
      <w:lvlText w:val="-"/>
      <w:legacy w:legacy="1" w:legacySpace="120" w:legacyIndent="360"/>
      <w:lvlJc w:val="left"/>
      <w:pPr>
        <w:ind w:left="-4127" w:hanging="360"/>
      </w:pPr>
    </w:lvl>
    <w:lvl w:ilvl="1" w:tentative="0">
      <w:start w:val="1"/>
      <w:numFmt w:val="none"/>
      <w:lvlText w:val="o"/>
      <w:legacy w:legacy="1" w:legacySpace="120" w:legacyIndent="360"/>
      <w:lvlJc w:val="left"/>
      <w:pPr>
        <w:ind w:left="-3767" w:hanging="360"/>
      </w:pPr>
      <w:rPr>
        <w:rFonts w:hint="default" w:ascii="Courier New" w:hAnsi="Courier New" w:cs="Courier New"/>
      </w:rPr>
    </w:lvl>
    <w:lvl w:ilvl="2" w:tentative="0">
      <w:start w:val="1"/>
      <w:numFmt w:val="none"/>
      <w:lvlText w:val=""/>
      <w:legacy w:legacy="1" w:legacySpace="120" w:legacyIndent="360"/>
      <w:lvlJc w:val="left"/>
      <w:pPr>
        <w:ind w:left="-3407" w:hanging="360"/>
      </w:pPr>
      <w:rPr>
        <w:rFonts w:hint="default" w:ascii="Wingdings" w:hAnsi="Wingdings"/>
      </w:rPr>
    </w:lvl>
    <w:lvl w:ilvl="3" w:tentative="0">
      <w:start w:val="1"/>
      <w:numFmt w:val="none"/>
      <w:lvlText w:val=""/>
      <w:legacy w:legacy="1" w:legacySpace="120" w:legacyIndent="360"/>
      <w:lvlJc w:val="left"/>
      <w:pPr>
        <w:ind w:left="-3047" w:hanging="360"/>
      </w:pPr>
      <w:rPr>
        <w:rFonts w:hint="default" w:ascii="Symbol" w:hAnsi="Symbol"/>
      </w:rPr>
    </w:lvl>
    <w:lvl w:ilvl="4" w:tentative="0">
      <w:start w:val="1"/>
      <w:numFmt w:val="none"/>
      <w:lvlText w:val="o"/>
      <w:legacy w:legacy="1" w:legacySpace="120" w:legacyIndent="360"/>
      <w:lvlJc w:val="left"/>
      <w:pPr>
        <w:ind w:left="-2687" w:hanging="360"/>
      </w:pPr>
      <w:rPr>
        <w:rFonts w:hint="default" w:ascii="Courier New" w:hAnsi="Courier New" w:cs="Courier New"/>
      </w:rPr>
    </w:lvl>
    <w:lvl w:ilvl="5" w:tentative="0">
      <w:start w:val="1"/>
      <w:numFmt w:val="none"/>
      <w:lvlText w:val=""/>
      <w:legacy w:legacy="1" w:legacySpace="120" w:legacyIndent="360"/>
      <w:lvlJc w:val="left"/>
      <w:pPr>
        <w:ind w:left="-2327" w:hanging="360"/>
      </w:pPr>
      <w:rPr>
        <w:rFonts w:hint="default" w:ascii="Wingdings" w:hAnsi="Wingdings"/>
      </w:rPr>
    </w:lvl>
    <w:lvl w:ilvl="6" w:tentative="0">
      <w:start w:val="1"/>
      <w:numFmt w:val="none"/>
      <w:lvlText w:val=""/>
      <w:legacy w:legacy="1" w:legacySpace="120" w:legacyIndent="360"/>
      <w:lvlJc w:val="left"/>
      <w:pPr>
        <w:ind w:left="-1967" w:hanging="360"/>
      </w:pPr>
      <w:rPr>
        <w:rFonts w:hint="default" w:ascii="Symbol" w:hAnsi="Symbol"/>
      </w:rPr>
    </w:lvl>
    <w:lvl w:ilvl="7" w:tentative="0">
      <w:start w:val="1"/>
      <w:numFmt w:val="none"/>
      <w:lvlText w:val="o"/>
      <w:legacy w:legacy="1" w:legacySpace="120" w:legacyIndent="360"/>
      <w:lvlJc w:val="left"/>
      <w:pPr>
        <w:ind w:left="-1607" w:hanging="360"/>
      </w:pPr>
      <w:rPr>
        <w:rFonts w:hint="default" w:ascii="Courier New" w:hAnsi="Courier New" w:cs="Courier New"/>
      </w:rPr>
    </w:lvl>
    <w:lvl w:ilvl="8" w:tentative="0">
      <w:start w:val="1"/>
      <w:numFmt w:val="none"/>
      <w:lvlText w:val=""/>
      <w:legacy w:legacy="1" w:legacySpace="120" w:legacyIndent="360"/>
      <w:lvlJc w:val="left"/>
      <w:pPr>
        <w:ind w:left="-1247" w:hanging="360"/>
      </w:pPr>
      <w:rPr>
        <w:rFonts w:hint="default" w:ascii="Wingdings" w:hAnsi="Wingdings"/>
      </w:rPr>
    </w:lvl>
  </w:abstractNum>
  <w:abstractNum w:abstractNumId="1">
    <w:nsid w:val="26096B77"/>
    <w:multiLevelType w:val="multilevel"/>
    <w:tmpl w:val="26096B7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70273E"/>
    <w:multiLevelType w:val="multilevel"/>
    <w:tmpl w:val="4870273E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5A7B66D0"/>
    <w:multiLevelType w:val="multilevel"/>
    <w:tmpl w:val="5A7B66D0"/>
    <w:lvl w:ilvl="0" w:tentative="0">
      <w:start w:val="3"/>
      <w:numFmt w:val="bullet"/>
      <w:lvlText w:val="-"/>
      <w:lvlJc w:val="left"/>
      <w:pPr>
        <w:ind w:left="420" w:hanging="360"/>
      </w:pPr>
      <w:rPr>
        <w:rFonts w:hint="default" w:ascii="Calibri" w:hAnsi="Calibri" w:cs="Calibri" w:eastAsiaTheme="minorEastAsia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4">
    <w:nsid w:val="759C262B"/>
    <w:multiLevelType w:val="multilevel"/>
    <w:tmpl w:val="759C262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72"/>
    <w:rsid w:val="0000673D"/>
    <w:rsid w:val="000148AC"/>
    <w:rsid w:val="00040C5F"/>
    <w:rsid w:val="00042E46"/>
    <w:rsid w:val="00050756"/>
    <w:rsid w:val="00070591"/>
    <w:rsid w:val="0007572B"/>
    <w:rsid w:val="00083D60"/>
    <w:rsid w:val="000A28A6"/>
    <w:rsid w:val="000A2EAE"/>
    <w:rsid w:val="000B5743"/>
    <w:rsid w:val="000F4086"/>
    <w:rsid w:val="001067B7"/>
    <w:rsid w:val="00107FC6"/>
    <w:rsid w:val="001248A7"/>
    <w:rsid w:val="00135879"/>
    <w:rsid w:val="00147D8D"/>
    <w:rsid w:val="00154DC2"/>
    <w:rsid w:val="00157EF6"/>
    <w:rsid w:val="00164307"/>
    <w:rsid w:val="00172971"/>
    <w:rsid w:val="0018146A"/>
    <w:rsid w:val="00183BA2"/>
    <w:rsid w:val="00184A97"/>
    <w:rsid w:val="0018656F"/>
    <w:rsid w:val="001875B3"/>
    <w:rsid w:val="00193A37"/>
    <w:rsid w:val="00193BA0"/>
    <w:rsid w:val="00194DA4"/>
    <w:rsid w:val="001A3E16"/>
    <w:rsid w:val="001A7A07"/>
    <w:rsid w:val="001B3F7E"/>
    <w:rsid w:val="001B7D42"/>
    <w:rsid w:val="001D2C62"/>
    <w:rsid w:val="001D3EB6"/>
    <w:rsid w:val="001D5E82"/>
    <w:rsid w:val="001E0643"/>
    <w:rsid w:val="001F01C0"/>
    <w:rsid w:val="001F56ED"/>
    <w:rsid w:val="0022090F"/>
    <w:rsid w:val="00223378"/>
    <w:rsid w:val="00233EF5"/>
    <w:rsid w:val="002412F4"/>
    <w:rsid w:val="00246BB6"/>
    <w:rsid w:val="0025382D"/>
    <w:rsid w:val="00255B5D"/>
    <w:rsid w:val="00256729"/>
    <w:rsid w:val="0027335B"/>
    <w:rsid w:val="00294831"/>
    <w:rsid w:val="002A2449"/>
    <w:rsid w:val="002A4501"/>
    <w:rsid w:val="002B0100"/>
    <w:rsid w:val="002C773C"/>
    <w:rsid w:val="002E01C6"/>
    <w:rsid w:val="002E0F87"/>
    <w:rsid w:val="002F31EA"/>
    <w:rsid w:val="0030451E"/>
    <w:rsid w:val="00315711"/>
    <w:rsid w:val="003233E9"/>
    <w:rsid w:val="00333CCB"/>
    <w:rsid w:val="00347EE5"/>
    <w:rsid w:val="00351D52"/>
    <w:rsid w:val="00391B3E"/>
    <w:rsid w:val="003922F7"/>
    <w:rsid w:val="003A3AC8"/>
    <w:rsid w:val="003A72A6"/>
    <w:rsid w:val="003B6DEA"/>
    <w:rsid w:val="003C3680"/>
    <w:rsid w:val="003C624A"/>
    <w:rsid w:val="003D0F27"/>
    <w:rsid w:val="003D4563"/>
    <w:rsid w:val="003D689C"/>
    <w:rsid w:val="003E0BEB"/>
    <w:rsid w:val="003E2FA2"/>
    <w:rsid w:val="003E5674"/>
    <w:rsid w:val="003E7F42"/>
    <w:rsid w:val="003F1A71"/>
    <w:rsid w:val="003F52C9"/>
    <w:rsid w:val="00410C5D"/>
    <w:rsid w:val="00412D23"/>
    <w:rsid w:val="00422984"/>
    <w:rsid w:val="0043442F"/>
    <w:rsid w:val="00434B3C"/>
    <w:rsid w:val="00445C77"/>
    <w:rsid w:val="00450A0D"/>
    <w:rsid w:val="004624C1"/>
    <w:rsid w:val="00464C2B"/>
    <w:rsid w:val="00477E91"/>
    <w:rsid w:val="00491305"/>
    <w:rsid w:val="00494B4D"/>
    <w:rsid w:val="00495B1D"/>
    <w:rsid w:val="00496BF7"/>
    <w:rsid w:val="0049713D"/>
    <w:rsid w:val="004A054E"/>
    <w:rsid w:val="004A2732"/>
    <w:rsid w:val="004A7207"/>
    <w:rsid w:val="004C23C5"/>
    <w:rsid w:val="004E779D"/>
    <w:rsid w:val="004F589E"/>
    <w:rsid w:val="00500DF7"/>
    <w:rsid w:val="00512428"/>
    <w:rsid w:val="00526A26"/>
    <w:rsid w:val="00527E2E"/>
    <w:rsid w:val="00544F84"/>
    <w:rsid w:val="00550E94"/>
    <w:rsid w:val="00551B22"/>
    <w:rsid w:val="0055361D"/>
    <w:rsid w:val="00573D4D"/>
    <w:rsid w:val="00576DE2"/>
    <w:rsid w:val="005A326D"/>
    <w:rsid w:val="005B43D8"/>
    <w:rsid w:val="005C347E"/>
    <w:rsid w:val="005C4244"/>
    <w:rsid w:val="005D3AC5"/>
    <w:rsid w:val="005F70DE"/>
    <w:rsid w:val="00607194"/>
    <w:rsid w:val="00610B07"/>
    <w:rsid w:val="00624C57"/>
    <w:rsid w:val="00625B53"/>
    <w:rsid w:val="0063068B"/>
    <w:rsid w:val="00630E5C"/>
    <w:rsid w:val="00632530"/>
    <w:rsid w:val="00635061"/>
    <w:rsid w:val="006621E5"/>
    <w:rsid w:val="00664721"/>
    <w:rsid w:val="0067203B"/>
    <w:rsid w:val="006826D4"/>
    <w:rsid w:val="00690475"/>
    <w:rsid w:val="006A1A01"/>
    <w:rsid w:val="006C7683"/>
    <w:rsid w:val="006D0FBA"/>
    <w:rsid w:val="006E2A72"/>
    <w:rsid w:val="006E2C30"/>
    <w:rsid w:val="006E6483"/>
    <w:rsid w:val="006F4C03"/>
    <w:rsid w:val="006F54F9"/>
    <w:rsid w:val="006F5EB0"/>
    <w:rsid w:val="006F6EDD"/>
    <w:rsid w:val="006F7F11"/>
    <w:rsid w:val="00702211"/>
    <w:rsid w:val="007076CE"/>
    <w:rsid w:val="00712FDC"/>
    <w:rsid w:val="00733256"/>
    <w:rsid w:val="00733708"/>
    <w:rsid w:val="00756CA2"/>
    <w:rsid w:val="00756DE4"/>
    <w:rsid w:val="007578AD"/>
    <w:rsid w:val="00761FEE"/>
    <w:rsid w:val="00763607"/>
    <w:rsid w:val="00763657"/>
    <w:rsid w:val="00770090"/>
    <w:rsid w:val="00773213"/>
    <w:rsid w:val="00773948"/>
    <w:rsid w:val="007768AA"/>
    <w:rsid w:val="00782160"/>
    <w:rsid w:val="00782B18"/>
    <w:rsid w:val="007913E0"/>
    <w:rsid w:val="00795F96"/>
    <w:rsid w:val="0079614B"/>
    <w:rsid w:val="007A110B"/>
    <w:rsid w:val="007A40F3"/>
    <w:rsid w:val="007B1194"/>
    <w:rsid w:val="007B43A5"/>
    <w:rsid w:val="007C4F3C"/>
    <w:rsid w:val="007C6F10"/>
    <w:rsid w:val="007D0BD4"/>
    <w:rsid w:val="007E3544"/>
    <w:rsid w:val="007F272C"/>
    <w:rsid w:val="007F3151"/>
    <w:rsid w:val="00820E18"/>
    <w:rsid w:val="00821F25"/>
    <w:rsid w:val="008237F3"/>
    <w:rsid w:val="00825F17"/>
    <w:rsid w:val="0083272A"/>
    <w:rsid w:val="008329EC"/>
    <w:rsid w:val="00834EC8"/>
    <w:rsid w:val="0083686D"/>
    <w:rsid w:val="00841F38"/>
    <w:rsid w:val="00854F40"/>
    <w:rsid w:val="00855A14"/>
    <w:rsid w:val="00862595"/>
    <w:rsid w:val="00871CFF"/>
    <w:rsid w:val="00872144"/>
    <w:rsid w:val="0087679F"/>
    <w:rsid w:val="00883D0F"/>
    <w:rsid w:val="008A3462"/>
    <w:rsid w:val="008A75D2"/>
    <w:rsid w:val="008B2342"/>
    <w:rsid w:val="008B417D"/>
    <w:rsid w:val="008C0640"/>
    <w:rsid w:val="008C271A"/>
    <w:rsid w:val="008C4A7F"/>
    <w:rsid w:val="008D1F22"/>
    <w:rsid w:val="008D2A53"/>
    <w:rsid w:val="008E2968"/>
    <w:rsid w:val="008F5416"/>
    <w:rsid w:val="00904C2E"/>
    <w:rsid w:val="0091125D"/>
    <w:rsid w:val="009209D2"/>
    <w:rsid w:val="00925182"/>
    <w:rsid w:val="00925FD3"/>
    <w:rsid w:val="00934589"/>
    <w:rsid w:val="009561DB"/>
    <w:rsid w:val="00971B12"/>
    <w:rsid w:val="00972B65"/>
    <w:rsid w:val="00973F75"/>
    <w:rsid w:val="00984A59"/>
    <w:rsid w:val="00990D32"/>
    <w:rsid w:val="009915F0"/>
    <w:rsid w:val="009A1A95"/>
    <w:rsid w:val="009B5430"/>
    <w:rsid w:val="009C55E1"/>
    <w:rsid w:val="009D13B1"/>
    <w:rsid w:val="00A06124"/>
    <w:rsid w:val="00A07E9B"/>
    <w:rsid w:val="00A346D4"/>
    <w:rsid w:val="00A40625"/>
    <w:rsid w:val="00A40C74"/>
    <w:rsid w:val="00A4116A"/>
    <w:rsid w:val="00A44A4A"/>
    <w:rsid w:val="00A504AD"/>
    <w:rsid w:val="00A54E54"/>
    <w:rsid w:val="00A5609B"/>
    <w:rsid w:val="00A6292C"/>
    <w:rsid w:val="00A752DA"/>
    <w:rsid w:val="00A763AD"/>
    <w:rsid w:val="00A87A68"/>
    <w:rsid w:val="00A94DA5"/>
    <w:rsid w:val="00A953A3"/>
    <w:rsid w:val="00A959C5"/>
    <w:rsid w:val="00AB7C16"/>
    <w:rsid w:val="00AC1CA8"/>
    <w:rsid w:val="00AD7BF9"/>
    <w:rsid w:val="00AE37BF"/>
    <w:rsid w:val="00AE3BA0"/>
    <w:rsid w:val="00AF5BEA"/>
    <w:rsid w:val="00B02263"/>
    <w:rsid w:val="00B02C33"/>
    <w:rsid w:val="00B06B84"/>
    <w:rsid w:val="00B15328"/>
    <w:rsid w:val="00B25B4D"/>
    <w:rsid w:val="00B33D00"/>
    <w:rsid w:val="00B36AF3"/>
    <w:rsid w:val="00B44C47"/>
    <w:rsid w:val="00B44E71"/>
    <w:rsid w:val="00B52938"/>
    <w:rsid w:val="00B60C42"/>
    <w:rsid w:val="00B677BE"/>
    <w:rsid w:val="00B715ED"/>
    <w:rsid w:val="00B77AFD"/>
    <w:rsid w:val="00B9142B"/>
    <w:rsid w:val="00B93476"/>
    <w:rsid w:val="00B963E0"/>
    <w:rsid w:val="00BA2B60"/>
    <w:rsid w:val="00BA4846"/>
    <w:rsid w:val="00BA4BF2"/>
    <w:rsid w:val="00BA6C3B"/>
    <w:rsid w:val="00BB7A7A"/>
    <w:rsid w:val="00BB7DFF"/>
    <w:rsid w:val="00BE00D5"/>
    <w:rsid w:val="00BE2592"/>
    <w:rsid w:val="00BE2C32"/>
    <w:rsid w:val="00BF7C91"/>
    <w:rsid w:val="00C00BB2"/>
    <w:rsid w:val="00C03711"/>
    <w:rsid w:val="00C055D5"/>
    <w:rsid w:val="00C06B35"/>
    <w:rsid w:val="00C06FFC"/>
    <w:rsid w:val="00C1241A"/>
    <w:rsid w:val="00C24793"/>
    <w:rsid w:val="00C5598F"/>
    <w:rsid w:val="00C766E6"/>
    <w:rsid w:val="00C80E52"/>
    <w:rsid w:val="00C858F3"/>
    <w:rsid w:val="00C86BA2"/>
    <w:rsid w:val="00C91F16"/>
    <w:rsid w:val="00C9691B"/>
    <w:rsid w:val="00CA3DBE"/>
    <w:rsid w:val="00CA4113"/>
    <w:rsid w:val="00CA4A41"/>
    <w:rsid w:val="00CC07FD"/>
    <w:rsid w:val="00CD5A59"/>
    <w:rsid w:val="00D13A47"/>
    <w:rsid w:val="00D22895"/>
    <w:rsid w:val="00D26A4D"/>
    <w:rsid w:val="00D46B97"/>
    <w:rsid w:val="00D50FD2"/>
    <w:rsid w:val="00D51DBE"/>
    <w:rsid w:val="00D6120D"/>
    <w:rsid w:val="00D6316E"/>
    <w:rsid w:val="00D64EE0"/>
    <w:rsid w:val="00D70DBD"/>
    <w:rsid w:val="00DC2CAC"/>
    <w:rsid w:val="00DC4FB9"/>
    <w:rsid w:val="00DC72A5"/>
    <w:rsid w:val="00DD6447"/>
    <w:rsid w:val="00E12DBF"/>
    <w:rsid w:val="00E14F5D"/>
    <w:rsid w:val="00E264E4"/>
    <w:rsid w:val="00E26679"/>
    <w:rsid w:val="00E336F8"/>
    <w:rsid w:val="00E34E54"/>
    <w:rsid w:val="00E5709D"/>
    <w:rsid w:val="00E606DD"/>
    <w:rsid w:val="00E71FC8"/>
    <w:rsid w:val="00E80E8E"/>
    <w:rsid w:val="00E86DE1"/>
    <w:rsid w:val="00E87DE4"/>
    <w:rsid w:val="00EA626C"/>
    <w:rsid w:val="00EC7019"/>
    <w:rsid w:val="00ED56FE"/>
    <w:rsid w:val="00EE0352"/>
    <w:rsid w:val="00EE0B7D"/>
    <w:rsid w:val="00F00D82"/>
    <w:rsid w:val="00F02C15"/>
    <w:rsid w:val="00F2074A"/>
    <w:rsid w:val="00F25596"/>
    <w:rsid w:val="00F43857"/>
    <w:rsid w:val="00F4754A"/>
    <w:rsid w:val="00F52D81"/>
    <w:rsid w:val="00F551A3"/>
    <w:rsid w:val="00F6574F"/>
    <w:rsid w:val="00F84618"/>
    <w:rsid w:val="00F86EAB"/>
    <w:rsid w:val="00F907D2"/>
    <w:rsid w:val="00F92D07"/>
    <w:rsid w:val="00FA0FBA"/>
    <w:rsid w:val="00FC420C"/>
    <w:rsid w:val="00FD5AC1"/>
    <w:rsid w:val="00FD64FE"/>
    <w:rsid w:val="00FE034F"/>
    <w:rsid w:val="00FF12B2"/>
    <w:rsid w:val="00FF198E"/>
    <w:rsid w:val="31267115"/>
    <w:rsid w:val="59815460"/>
    <w:rsid w:val="5FD03371"/>
    <w:rsid w:val="7573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24"/>
      <w:lang w:val="hr-H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 w:val="22"/>
      <w:u w:val="single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sz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semiHidden/>
    <w:uiPriority w:val="0"/>
    <w:rPr>
      <w:sz w:val="22"/>
    </w:rPr>
  </w:style>
  <w:style w:type="paragraph" w:styleId="8">
    <w:name w:val="foot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9">
    <w:name w:val="Normal (Web)"/>
    <w:basedOn w:val="1"/>
    <w:semiHidden/>
    <w:uiPriority w:val="0"/>
    <w:pPr>
      <w:spacing w:before="100" w:after="100"/>
    </w:pPr>
    <w:rPr>
      <w:rFonts w:ascii="Times New Roman" w:hAnsi="Times New Roman"/>
    </w:rPr>
  </w:style>
  <w:style w:type="character" w:styleId="10">
    <w:name w:val="page number"/>
    <w:basedOn w:val="4"/>
    <w:semiHidden/>
    <w:uiPriority w:val="0"/>
  </w:style>
  <w:style w:type="table" w:styleId="11">
    <w:name w:val="Table Grid"/>
    <w:basedOn w:val="5"/>
    <w:qFormat/>
    <w:uiPriority w:val="0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Balloon Text Char"/>
    <w:basedOn w:val="4"/>
    <w:link w:val="6"/>
    <w:semiHidden/>
    <w:uiPriority w:val="99"/>
    <w:rPr>
      <w:rFonts w:ascii="Tahoma" w:hAnsi="Tahoma" w:cs="Tahoma"/>
      <w:sz w:val="16"/>
      <w:szCs w:val="16"/>
      <w:lang w:val="en-US" w:eastAsia="en-US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8734-3890-4F29-9944-2649D4BF4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SVKRI</Company>
  <Pages>6</Pages>
  <Words>1240</Words>
  <Characters>7069</Characters>
  <Lines>58</Lines>
  <Paragraphs>16</Paragraphs>
  <TotalTime>351</TotalTime>
  <ScaleCrop>false</ScaleCrop>
  <LinksUpToDate>false</LinksUpToDate>
  <CharactersWithSpaces>8293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2023-01-26T08:41:00Z</dcterms:created>
  <dc:creator>Mirjana Prpic</dc:creator>
  <cp:lastModifiedBy>tmilosavljev</cp:lastModifiedBy>
  <cp:lastPrinted>2021-01-29T07:28:00Z</cp:lastPrinted>
  <dcterms:modified xsi:type="dcterms:W3CDTF">2024-01-23T13:20:25Z</dcterms:modified>
  <dc:title>MINISTARSTVO ZNANOSTI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5B985306B36A48C39DA4278A14662D4B_13</vt:lpwstr>
  </property>
</Properties>
</file>